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B18" w:rsidRDefault="00605D76" w:rsidP="003806A2">
      <w:pPr>
        <w:jc w:val="both"/>
        <w:rPr>
          <w:sz w:val="24"/>
          <w:szCs w:val="24"/>
        </w:rPr>
      </w:pPr>
      <w:r w:rsidRPr="00B24068">
        <w:rPr>
          <w:sz w:val="24"/>
          <w:szCs w:val="24"/>
        </w:rPr>
        <w:t>Investment in emerging markets can b</w:t>
      </w:r>
      <w:r w:rsidR="0017649D">
        <w:rPr>
          <w:sz w:val="24"/>
          <w:szCs w:val="24"/>
        </w:rPr>
        <w:t xml:space="preserve">e considered arbitrage </w:t>
      </w:r>
      <w:r w:rsidR="00417B18">
        <w:rPr>
          <w:sz w:val="24"/>
          <w:szCs w:val="24"/>
        </w:rPr>
        <w:t>opportunities</w:t>
      </w:r>
      <w:r w:rsidRPr="00B24068">
        <w:rPr>
          <w:sz w:val="24"/>
          <w:szCs w:val="24"/>
        </w:rPr>
        <w:t>. Thi</w:t>
      </w:r>
      <w:r w:rsidR="00417B18">
        <w:rPr>
          <w:sz w:val="24"/>
          <w:szCs w:val="24"/>
        </w:rPr>
        <w:t xml:space="preserve">s is the basis of the attraction to these nearly developed or developing </w:t>
      </w:r>
      <w:r w:rsidRPr="00B24068">
        <w:rPr>
          <w:sz w:val="24"/>
          <w:szCs w:val="24"/>
        </w:rPr>
        <w:t xml:space="preserve">markets. The </w:t>
      </w:r>
      <w:r w:rsidR="00BC7C42" w:rsidRPr="00B24068">
        <w:rPr>
          <w:sz w:val="24"/>
          <w:szCs w:val="24"/>
        </w:rPr>
        <w:t>volatility inherent in the</w:t>
      </w:r>
      <w:r w:rsidR="00417B18" w:rsidRPr="00417B18">
        <w:rPr>
          <w:sz w:val="24"/>
          <w:szCs w:val="24"/>
        </w:rPr>
        <w:t xml:space="preserve"> </w:t>
      </w:r>
      <w:r w:rsidR="00417B18" w:rsidRPr="00B24068">
        <w:rPr>
          <w:sz w:val="24"/>
          <w:szCs w:val="24"/>
        </w:rPr>
        <w:t>economies</w:t>
      </w:r>
      <w:r w:rsidR="00BC7C42" w:rsidRPr="00B24068">
        <w:rPr>
          <w:sz w:val="24"/>
          <w:szCs w:val="24"/>
        </w:rPr>
        <w:t xml:space="preserve">, and consequently, the </w:t>
      </w:r>
      <w:r w:rsidR="00417B18" w:rsidRPr="00B24068">
        <w:rPr>
          <w:sz w:val="24"/>
          <w:szCs w:val="24"/>
        </w:rPr>
        <w:t>currencies</w:t>
      </w:r>
      <w:r w:rsidR="00417B18" w:rsidRPr="00B24068">
        <w:rPr>
          <w:sz w:val="24"/>
          <w:szCs w:val="24"/>
        </w:rPr>
        <w:t xml:space="preserve"> </w:t>
      </w:r>
      <w:r w:rsidR="00BC7C42" w:rsidRPr="00B24068">
        <w:rPr>
          <w:sz w:val="24"/>
          <w:szCs w:val="24"/>
        </w:rPr>
        <w:t>of emerging markets</w:t>
      </w:r>
      <w:r w:rsidR="0017649D">
        <w:rPr>
          <w:sz w:val="24"/>
          <w:szCs w:val="24"/>
        </w:rPr>
        <w:t>,</w:t>
      </w:r>
      <w:r w:rsidR="00417B18">
        <w:rPr>
          <w:sz w:val="24"/>
          <w:szCs w:val="24"/>
        </w:rPr>
        <w:t xml:space="preserve"> is a magnet for foreign</w:t>
      </w:r>
      <w:r w:rsidR="00BC7C42" w:rsidRPr="00B24068">
        <w:rPr>
          <w:sz w:val="24"/>
          <w:szCs w:val="24"/>
        </w:rPr>
        <w:t xml:space="preserve"> cap</w:t>
      </w:r>
      <w:r w:rsidR="00B24068">
        <w:rPr>
          <w:sz w:val="24"/>
          <w:szCs w:val="24"/>
        </w:rPr>
        <w:t>ital seeking higher</w:t>
      </w:r>
      <w:r w:rsidR="003806A2" w:rsidRPr="00B24068">
        <w:rPr>
          <w:sz w:val="24"/>
          <w:szCs w:val="24"/>
        </w:rPr>
        <w:t xml:space="preserve"> returns</w:t>
      </w:r>
      <w:r w:rsidR="00B24068">
        <w:rPr>
          <w:sz w:val="24"/>
          <w:szCs w:val="24"/>
        </w:rPr>
        <w:t xml:space="preserve"> with considerable appetite or infrastructure for managing the incremental risks involved</w:t>
      </w:r>
      <w:r w:rsidR="003806A2" w:rsidRPr="00B24068">
        <w:rPr>
          <w:sz w:val="24"/>
          <w:szCs w:val="24"/>
        </w:rPr>
        <w:t xml:space="preserve">. </w:t>
      </w:r>
    </w:p>
    <w:p w:rsidR="00605D76" w:rsidRDefault="00EE44AF" w:rsidP="003806A2">
      <w:pPr>
        <w:jc w:val="both"/>
        <w:rPr>
          <w:rFonts w:cs="Arial"/>
          <w:color w:val="222222"/>
          <w:sz w:val="24"/>
          <w:szCs w:val="24"/>
          <w:shd w:val="clear" w:color="auto" w:fill="FFFFFF"/>
        </w:rPr>
      </w:pPr>
      <w:r w:rsidRPr="00B24068">
        <w:rPr>
          <w:sz w:val="24"/>
          <w:szCs w:val="24"/>
        </w:rPr>
        <w:t xml:space="preserve">Emerging economies have been defined as </w:t>
      </w:r>
      <w:r w:rsidR="0058749D" w:rsidRPr="00B24068">
        <w:rPr>
          <w:rFonts w:cs="Arial"/>
          <w:color w:val="222222"/>
          <w:sz w:val="24"/>
          <w:szCs w:val="24"/>
          <w:shd w:val="clear" w:color="auto" w:fill="FFFFFF"/>
        </w:rPr>
        <w:t>countries that exhibit some of the characteristics of a </w:t>
      </w:r>
      <w:r w:rsidR="0058749D" w:rsidRPr="00B24068">
        <w:rPr>
          <w:rFonts w:cs="Arial"/>
          <w:sz w:val="24"/>
          <w:szCs w:val="24"/>
          <w:shd w:val="clear" w:color="auto" w:fill="FFFFFF"/>
        </w:rPr>
        <w:t>developed</w:t>
      </w:r>
      <w:r w:rsidR="0058749D" w:rsidRPr="00B24068">
        <w:rPr>
          <w:sz w:val="24"/>
          <w:szCs w:val="24"/>
        </w:rPr>
        <w:t xml:space="preserve"> economies but do</w:t>
      </w:r>
      <w:r w:rsidR="0058749D" w:rsidRPr="00B24068">
        <w:rPr>
          <w:rFonts w:cs="Arial"/>
          <w:color w:val="222222"/>
          <w:sz w:val="24"/>
          <w:szCs w:val="24"/>
          <w:shd w:val="clear" w:color="auto" w:fill="FFFFFF"/>
        </w:rPr>
        <w:t xml:space="preserve"> not completely meet all the requirements required to be qualified as a developed economy</w:t>
      </w:r>
      <w:r w:rsidR="0058749D" w:rsidRPr="00B24068">
        <w:rPr>
          <w:rStyle w:val="FootnoteReference"/>
          <w:rFonts w:cs="Arial"/>
          <w:color w:val="222222"/>
          <w:sz w:val="24"/>
          <w:szCs w:val="24"/>
          <w:shd w:val="clear" w:color="auto" w:fill="FFFFFF"/>
        </w:rPr>
        <w:footnoteReference w:id="1"/>
      </w:r>
      <w:r w:rsidR="00B24068">
        <w:rPr>
          <w:rFonts w:cs="Arial"/>
          <w:color w:val="222222"/>
          <w:sz w:val="24"/>
          <w:szCs w:val="24"/>
          <w:shd w:val="clear" w:color="auto" w:fill="FFFFFF"/>
        </w:rPr>
        <w:t>. This definition includes countries that would be or have been described in the past as developed economies</w:t>
      </w:r>
      <w:r w:rsidR="0017649D">
        <w:rPr>
          <w:rFonts w:cs="Arial"/>
          <w:color w:val="222222"/>
          <w:sz w:val="24"/>
          <w:szCs w:val="24"/>
          <w:shd w:val="clear" w:color="auto" w:fill="FFFFFF"/>
        </w:rPr>
        <w:t xml:space="preserve"> and touches broadly on economic, institutional and political differentiation between economies. It is t</w:t>
      </w:r>
      <w:r w:rsidR="00B24068">
        <w:rPr>
          <w:rFonts w:cs="Arial"/>
          <w:color w:val="222222"/>
          <w:sz w:val="24"/>
          <w:szCs w:val="24"/>
          <w:shd w:val="clear" w:color="auto" w:fill="FFFFFF"/>
        </w:rPr>
        <w:t>hese di</w:t>
      </w:r>
      <w:r w:rsidR="0017649D">
        <w:rPr>
          <w:rFonts w:cs="Arial"/>
          <w:color w:val="222222"/>
          <w:sz w:val="24"/>
          <w:szCs w:val="24"/>
          <w:shd w:val="clear" w:color="auto" w:fill="FFFFFF"/>
        </w:rPr>
        <w:t xml:space="preserve">fferentiating characteristics describe the gaps that provide </w:t>
      </w:r>
      <w:r w:rsidR="00B24068">
        <w:rPr>
          <w:rFonts w:cs="Arial"/>
          <w:color w:val="222222"/>
          <w:sz w:val="24"/>
          <w:szCs w:val="24"/>
          <w:shd w:val="clear" w:color="auto" w:fill="FFFFFF"/>
        </w:rPr>
        <w:t xml:space="preserve">arbitrage opportunity for investors in </w:t>
      </w:r>
      <w:r w:rsidR="001B18B9">
        <w:rPr>
          <w:rFonts w:cs="Arial"/>
          <w:color w:val="222222"/>
          <w:sz w:val="24"/>
          <w:szCs w:val="24"/>
          <w:shd w:val="clear" w:color="auto" w:fill="FFFFFF"/>
        </w:rPr>
        <w:t>both the money and</w:t>
      </w:r>
      <w:r w:rsidR="00B24068">
        <w:rPr>
          <w:rFonts w:cs="Arial"/>
          <w:color w:val="222222"/>
          <w:sz w:val="24"/>
          <w:szCs w:val="24"/>
          <w:shd w:val="clear" w:color="auto" w:fill="FFFFFF"/>
        </w:rPr>
        <w:t xml:space="preserve"> real markets of these economies. </w:t>
      </w:r>
    </w:p>
    <w:p w:rsidR="001B18B9" w:rsidRDefault="0017649D" w:rsidP="003806A2">
      <w:pPr>
        <w:jc w:val="both"/>
        <w:rPr>
          <w:sz w:val="24"/>
          <w:szCs w:val="24"/>
        </w:rPr>
      </w:pPr>
      <w:r>
        <w:rPr>
          <w:sz w:val="24"/>
          <w:szCs w:val="24"/>
        </w:rPr>
        <w:t xml:space="preserve">The ranged </w:t>
      </w:r>
      <w:r w:rsidR="00417B18">
        <w:rPr>
          <w:sz w:val="24"/>
          <w:szCs w:val="24"/>
        </w:rPr>
        <w:t>interpretation</w:t>
      </w:r>
      <w:r>
        <w:rPr>
          <w:sz w:val="24"/>
          <w:szCs w:val="24"/>
        </w:rPr>
        <w:t xml:space="preserve"> of the nomenclature speaks to the diversity of countries so classified and </w:t>
      </w:r>
      <w:r w:rsidR="00D72DFB">
        <w:rPr>
          <w:sz w:val="24"/>
          <w:szCs w:val="24"/>
        </w:rPr>
        <w:t>the varying phases of</w:t>
      </w:r>
      <w:r w:rsidR="008A3A0E">
        <w:rPr>
          <w:sz w:val="24"/>
          <w:szCs w:val="24"/>
        </w:rPr>
        <w:t xml:space="preserve"> </w:t>
      </w:r>
      <w:r w:rsidR="008A3A0E" w:rsidRPr="009018EC">
        <w:rPr>
          <w:sz w:val="24"/>
          <w:szCs w:val="24"/>
        </w:rPr>
        <w:t>growth</w:t>
      </w:r>
      <w:r w:rsidR="00D72DFB">
        <w:rPr>
          <w:sz w:val="24"/>
          <w:szCs w:val="24"/>
        </w:rPr>
        <w:t xml:space="preserve"> in their respective economies</w:t>
      </w:r>
      <w:r w:rsidR="008A3A0E" w:rsidRPr="009018EC">
        <w:rPr>
          <w:sz w:val="24"/>
          <w:szCs w:val="24"/>
        </w:rPr>
        <w:t>. Th</w:t>
      </w:r>
      <w:r w:rsidR="008A3A0E">
        <w:rPr>
          <w:sz w:val="24"/>
          <w:szCs w:val="24"/>
        </w:rPr>
        <w:t xml:space="preserve">ey </w:t>
      </w:r>
      <w:r w:rsidR="008A3A0E" w:rsidRPr="009018EC">
        <w:rPr>
          <w:sz w:val="24"/>
          <w:szCs w:val="24"/>
        </w:rPr>
        <w:t xml:space="preserve">include small </w:t>
      </w:r>
      <w:r w:rsidR="008A3A0E">
        <w:rPr>
          <w:sz w:val="24"/>
          <w:szCs w:val="24"/>
        </w:rPr>
        <w:t>co</w:t>
      </w:r>
      <w:r w:rsidR="008A3A0E" w:rsidRPr="009018EC">
        <w:rPr>
          <w:sz w:val="24"/>
          <w:szCs w:val="24"/>
        </w:rPr>
        <w:t>untries like Jamaica and Slovenia as well as big economies like Brazil, Russia, China a</w:t>
      </w:r>
      <w:r w:rsidR="008A3A0E">
        <w:rPr>
          <w:sz w:val="24"/>
          <w:szCs w:val="24"/>
        </w:rPr>
        <w:t xml:space="preserve">nd India. </w:t>
      </w:r>
      <w:r w:rsidR="00D72DFB">
        <w:rPr>
          <w:sz w:val="24"/>
          <w:szCs w:val="24"/>
        </w:rPr>
        <w:t>Though they have smaller</w:t>
      </w:r>
      <w:r w:rsidR="008A3A0E">
        <w:rPr>
          <w:sz w:val="24"/>
          <w:szCs w:val="24"/>
        </w:rPr>
        <w:t xml:space="preserve"> capital markets</w:t>
      </w:r>
      <w:r w:rsidR="00D72DFB">
        <w:rPr>
          <w:sz w:val="24"/>
          <w:szCs w:val="24"/>
        </w:rPr>
        <w:t xml:space="preserve"> compared to d</w:t>
      </w:r>
      <w:r w:rsidR="008A3A0E">
        <w:rPr>
          <w:sz w:val="24"/>
          <w:szCs w:val="24"/>
        </w:rPr>
        <w:t>eveloped economies,</w:t>
      </w:r>
      <w:r w:rsidR="00D72DFB">
        <w:rPr>
          <w:sz w:val="24"/>
          <w:szCs w:val="24"/>
        </w:rPr>
        <w:t xml:space="preserve"> </w:t>
      </w:r>
      <w:r w:rsidR="008A3A0E">
        <w:rPr>
          <w:sz w:val="24"/>
          <w:szCs w:val="24"/>
        </w:rPr>
        <w:t xml:space="preserve">their </w:t>
      </w:r>
      <w:r w:rsidR="00D72DFB">
        <w:rPr>
          <w:sz w:val="24"/>
          <w:szCs w:val="24"/>
        </w:rPr>
        <w:t xml:space="preserve">relatively </w:t>
      </w:r>
      <w:r w:rsidR="008A3A0E">
        <w:rPr>
          <w:sz w:val="24"/>
          <w:szCs w:val="24"/>
        </w:rPr>
        <w:t xml:space="preserve">lower GDP base </w:t>
      </w:r>
      <w:r w:rsidR="00D72DFB">
        <w:rPr>
          <w:sz w:val="24"/>
          <w:szCs w:val="24"/>
        </w:rPr>
        <w:t>promises</w:t>
      </w:r>
      <w:r w:rsidR="008A3A0E">
        <w:rPr>
          <w:sz w:val="24"/>
          <w:szCs w:val="24"/>
        </w:rPr>
        <w:t xml:space="preserve"> higher growth potential than the more stable and</w:t>
      </w:r>
      <w:r w:rsidR="008A3A0E" w:rsidRPr="008A3A0E">
        <w:rPr>
          <w:sz w:val="24"/>
          <w:szCs w:val="24"/>
        </w:rPr>
        <w:t xml:space="preserve"> </w:t>
      </w:r>
      <w:r w:rsidR="008A3A0E">
        <w:rPr>
          <w:sz w:val="24"/>
          <w:szCs w:val="24"/>
        </w:rPr>
        <w:t xml:space="preserve">institutionalized systems. </w:t>
      </w:r>
      <w:r w:rsidR="00DE432F">
        <w:rPr>
          <w:sz w:val="24"/>
          <w:szCs w:val="24"/>
        </w:rPr>
        <w:t xml:space="preserve">Certain </w:t>
      </w:r>
      <w:r w:rsidR="00D72DFB">
        <w:rPr>
          <w:sz w:val="24"/>
          <w:szCs w:val="24"/>
        </w:rPr>
        <w:t xml:space="preserve">key drivers of the </w:t>
      </w:r>
      <w:r w:rsidR="00DE432F">
        <w:rPr>
          <w:sz w:val="24"/>
          <w:szCs w:val="24"/>
        </w:rPr>
        <w:t xml:space="preserve">potential </w:t>
      </w:r>
      <w:r w:rsidR="00D72DFB">
        <w:rPr>
          <w:sz w:val="24"/>
          <w:szCs w:val="24"/>
        </w:rPr>
        <w:t>growth indicators of these</w:t>
      </w:r>
      <w:r w:rsidR="001B18B9">
        <w:rPr>
          <w:sz w:val="24"/>
          <w:szCs w:val="24"/>
        </w:rPr>
        <w:t xml:space="preserve"> </w:t>
      </w:r>
      <w:r w:rsidR="00D72DFB">
        <w:rPr>
          <w:sz w:val="24"/>
          <w:szCs w:val="24"/>
        </w:rPr>
        <w:t xml:space="preserve">economies continues to lure </w:t>
      </w:r>
      <w:r w:rsidR="001B18B9">
        <w:rPr>
          <w:sz w:val="24"/>
          <w:szCs w:val="24"/>
        </w:rPr>
        <w:t>foreign portfolio and direct investment. These include:</w:t>
      </w:r>
    </w:p>
    <w:p w:rsidR="009018EC" w:rsidRPr="00C02CD4" w:rsidRDefault="009018EC" w:rsidP="009018EC">
      <w:pPr>
        <w:pStyle w:val="Heading2"/>
        <w:numPr>
          <w:ilvl w:val="0"/>
          <w:numId w:val="5"/>
        </w:numPr>
        <w:rPr>
          <w:rFonts w:asciiTheme="minorHAnsi" w:hAnsiTheme="minorHAnsi"/>
          <w:b/>
          <w:color w:val="auto"/>
          <w:sz w:val="24"/>
          <w:szCs w:val="24"/>
        </w:rPr>
      </w:pPr>
      <w:r w:rsidRPr="00C02CD4">
        <w:rPr>
          <w:rFonts w:asciiTheme="minorHAnsi" w:hAnsiTheme="minorHAnsi"/>
          <w:b/>
          <w:color w:val="auto"/>
          <w:sz w:val="24"/>
          <w:szCs w:val="24"/>
        </w:rPr>
        <w:t>Demography</w:t>
      </w:r>
    </w:p>
    <w:p w:rsidR="00CE3810" w:rsidRDefault="008A3A0E" w:rsidP="00D70352">
      <w:pPr>
        <w:jc w:val="both"/>
        <w:rPr>
          <w:sz w:val="24"/>
          <w:szCs w:val="24"/>
        </w:rPr>
      </w:pPr>
      <w:r w:rsidRPr="00C02CD4">
        <w:rPr>
          <w:sz w:val="24"/>
          <w:szCs w:val="24"/>
        </w:rPr>
        <w:t>One generally touted characteristic of emerging markets is the size of its consuming demography. The World Bank reports that</w:t>
      </w:r>
      <w:r w:rsidR="00A32B3A" w:rsidRPr="00C02CD4">
        <w:rPr>
          <w:sz w:val="24"/>
          <w:szCs w:val="24"/>
        </w:rPr>
        <w:t xml:space="preserve"> emerging market economies will generally report GDP growth rate of over 200 bps over anticipated levels in developed economies.</w:t>
      </w:r>
      <w:r w:rsidR="00A32B3A" w:rsidRPr="00C02CD4">
        <w:rPr>
          <w:rStyle w:val="FootnoteReference"/>
          <w:sz w:val="24"/>
          <w:szCs w:val="24"/>
        </w:rPr>
        <w:footnoteReference w:id="2"/>
      </w:r>
      <w:r w:rsidR="00A32B3A" w:rsidRPr="00C02CD4">
        <w:rPr>
          <w:sz w:val="24"/>
          <w:szCs w:val="24"/>
        </w:rPr>
        <w:t xml:space="preserve"> </w:t>
      </w:r>
      <w:r w:rsidR="00D70352" w:rsidRPr="00C02CD4">
        <w:rPr>
          <w:sz w:val="24"/>
          <w:szCs w:val="24"/>
        </w:rPr>
        <w:t xml:space="preserve">This relatively </w:t>
      </w:r>
      <w:r w:rsidR="00DE432F">
        <w:rPr>
          <w:sz w:val="24"/>
          <w:szCs w:val="24"/>
        </w:rPr>
        <w:t>high</w:t>
      </w:r>
      <w:r w:rsidR="00D70352" w:rsidRPr="00C02CD4">
        <w:rPr>
          <w:sz w:val="24"/>
          <w:szCs w:val="24"/>
        </w:rPr>
        <w:t xml:space="preserve"> growth rate</w:t>
      </w:r>
      <w:r w:rsidR="00DE432F">
        <w:rPr>
          <w:sz w:val="24"/>
          <w:szCs w:val="24"/>
        </w:rPr>
        <w:t>, in a world of thinning margins,</w:t>
      </w:r>
      <w:r w:rsidR="00D70352" w:rsidRPr="00C02CD4">
        <w:rPr>
          <w:sz w:val="24"/>
          <w:szCs w:val="24"/>
        </w:rPr>
        <w:t xml:space="preserve"> has been attributed to several factors including a growing consumer base, increase in earning power of the growing middle class and lastly, </w:t>
      </w:r>
      <w:r w:rsidR="00DE432F">
        <w:rPr>
          <w:sz w:val="24"/>
          <w:szCs w:val="24"/>
        </w:rPr>
        <w:t xml:space="preserve">the impact of </w:t>
      </w:r>
      <w:r w:rsidR="00D70352" w:rsidRPr="00C02CD4">
        <w:rPr>
          <w:sz w:val="24"/>
          <w:szCs w:val="24"/>
        </w:rPr>
        <w:t>technology</w:t>
      </w:r>
      <w:r w:rsidR="00D70352" w:rsidRPr="00C02CD4">
        <w:rPr>
          <w:rStyle w:val="FootnoteReference"/>
          <w:sz w:val="24"/>
          <w:szCs w:val="24"/>
        </w:rPr>
        <w:footnoteReference w:id="3"/>
      </w:r>
      <w:r w:rsidR="00D70352" w:rsidRPr="00C02CD4">
        <w:rPr>
          <w:sz w:val="24"/>
          <w:szCs w:val="24"/>
        </w:rPr>
        <w:t xml:space="preserve">. </w:t>
      </w:r>
    </w:p>
    <w:p w:rsidR="008A3A0E" w:rsidRPr="00C02CD4" w:rsidRDefault="006B4009" w:rsidP="00D70352">
      <w:pPr>
        <w:jc w:val="both"/>
        <w:rPr>
          <w:sz w:val="24"/>
          <w:szCs w:val="24"/>
        </w:rPr>
      </w:pPr>
      <w:r>
        <w:rPr>
          <w:sz w:val="24"/>
          <w:szCs w:val="24"/>
        </w:rPr>
        <w:t>A</w:t>
      </w:r>
      <w:r w:rsidR="00D70352" w:rsidRPr="00C02CD4">
        <w:rPr>
          <w:sz w:val="24"/>
          <w:szCs w:val="24"/>
        </w:rPr>
        <w:t xml:space="preserve"> common denominator is the growing labor force in these regions. </w:t>
      </w:r>
      <w:r>
        <w:rPr>
          <w:sz w:val="24"/>
          <w:szCs w:val="24"/>
        </w:rPr>
        <w:t>The</w:t>
      </w:r>
      <w:r w:rsidRPr="006B4009">
        <w:rPr>
          <w:sz w:val="24"/>
          <w:szCs w:val="24"/>
        </w:rPr>
        <w:t> </w:t>
      </w:r>
      <w:hyperlink r:id="rId8" w:tgtFrame="_blank" w:history="1">
        <w:r w:rsidRPr="006B4009">
          <w:rPr>
            <w:sz w:val="24"/>
            <w:szCs w:val="24"/>
          </w:rPr>
          <w:t>Cobb-Douglas relationship</w:t>
        </w:r>
      </w:hyperlink>
      <w:r>
        <w:rPr>
          <w:sz w:val="24"/>
          <w:szCs w:val="24"/>
        </w:rPr>
        <w:t xml:space="preserve"> provides a more simplistic explanation for </w:t>
      </w:r>
      <w:r w:rsidR="00DE432F">
        <w:rPr>
          <w:sz w:val="24"/>
          <w:szCs w:val="24"/>
        </w:rPr>
        <w:t>this theory; where change in to</w:t>
      </w:r>
      <w:r>
        <w:rPr>
          <w:sz w:val="24"/>
          <w:szCs w:val="24"/>
        </w:rPr>
        <w:t>tal output is a function change in capital, labor and technology.</w:t>
      </w:r>
      <w:r>
        <w:rPr>
          <w:sz w:val="24"/>
          <w:szCs w:val="24"/>
        </w:rPr>
        <w:t xml:space="preserve"> </w:t>
      </w:r>
      <w:r w:rsidR="00D70352" w:rsidRPr="00C02CD4">
        <w:rPr>
          <w:sz w:val="24"/>
          <w:szCs w:val="24"/>
        </w:rPr>
        <w:t xml:space="preserve">With the exception of China, emerging economies are estimated to grow at an average rate of </w:t>
      </w:r>
      <w:proofErr w:type="spellStart"/>
      <w:r w:rsidR="00D70352" w:rsidRPr="00C02CD4">
        <w:rPr>
          <w:sz w:val="24"/>
          <w:szCs w:val="24"/>
        </w:rPr>
        <w:t>x.xx</w:t>
      </w:r>
      <w:proofErr w:type="spellEnd"/>
      <w:r w:rsidR="00D70352" w:rsidRPr="00C02CD4">
        <w:rPr>
          <w:sz w:val="24"/>
          <w:szCs w:val="24"/>
        </w:rPr>
        <w:t>%</w:t>
      </w:r>
      <w:r w:rsidR="001D44DD" w:rsidRPr="00C02CD4">
        <w:rPr>
          <w:sz w:val="24"/>
          <w:szCs w:val="24"/>
        </w:rPr>
        <w:t xml:space="preserve"> y-o-y from 2016</w:t>
      </w:r>
      <w:r w:rsidR="00D70352" w:rsidRPr="00C02CD4">
        <w:rPr>
          <w:sz w:val="24"/>
          <w:szCs w:val="24"/>
        </w:rPr>
        <w:t xml:space="preserve"> to 2050</w:t>
      </w:r>
      <w:r w:rsidR="00D70352" w:rsidRPr="00C02CD4">
        <w:rPr>
          <w:rStyle w:val="FootnoteReference"/>
          <w:sz w:val="24"/>
          <w:szCs w:val="24"/>
        </w:rPr>
        <w:footnoteReference w:id="4"/>
      </w:r>
      <w:r w:rsidR="00D70352" w:rsidRPr="00C02CD4">
        <w:rPr>
          <w:sz w:val="24"/>
          <w:szCs w:val="24"/>
        </w:rPr>
        <w:t>.</w:t>
      </w:r>
      <w:r w:rsidR="001D44DD" w:rsidRPr="00C02CD4">
        <w:rPr>
          <w:sz w:val="24"/>
          <w:szCs w:val="24"/>
        </w:rPr>
        <w:t xml:space="preserve"> </w:t>
      </w:r>
      <w:r w:rsidR="00DE432F">
        <w:rPr>
          <w:sz w:val="24"/>
          <w:szCs w:val="24"/>
        </w:rPr>
        <w:t>While g</w:t>
      </w:r>
      <w:r w:rsidR="00C02CD4">
        <w:rPr>
          <w:sz w:val="24"/>
          <w:szCs w:val="24"/>
        </w:rPr>
        <w:t>lobal labor force has been reported to</w:t>
      </w:r>
      <w:r w:rsidR="00DE432F">
        <w:rPr>
          <w:sz w:val="24"/>
          <w:szCs w:val="24"/>
        </w:rPr>
        <w:t xml:space="preserve"> have</w:t>
      </w:r>
      <w:r w:rsidR="00C02CD4">
        <w:rPr>
          <w:sz w:val="24"/>
          <w:szCs w:val="24"/>
        </w:rPr>
        <w:t xml:space="preserve"> grow</w:t>
      </w:r>
      <w:r w:rsidR="00DE432F">
        <w:rPr>
          <w:sz w:val="24"/>
          <w:szCs w:val="24"/>
        </w:rPr>
        <w:t>n</w:t>
      </w:r>
      <w:r w:rsidR="00C02CD4">
        <w:rPr>
          <w:sz w:val="24"/>
          <w:szCs w:val="24"/>
        </w:rPr>
        <w:t xml:space="preserve"> at roughly 1.1% since 2005</w:t>
      </w:r>
      <w:r w:rsidR="00CE3810">
        <w:rPr>
          <w:sz w:val="24"/>
          <w:szCs w:val="24"/>
        </w:rPr>
        <w:t>,</w:t>
      </w:r>
      <w:r w:rsidR="00C02CD4">
        <w:rPr>
          <w:rStyle w:val="FootnoteReference"/>
          <w:sz w:val="24"/>
          <w:szCs w:val="24"/>
        </w:rPr>
        <w:footnoteReference w:id="5"/>
      </w:r>
      <w:r w:rsidR="00CE3810">
        <w:rPr>
          <w:sz w:val="24"/>
          <w:szCs w:val="24"/>
        </w:rPr>
        <w:t xml:space="preserve"> countries like the Philippines are still recording exponential labor force growth rates. </w:t>
      </w:r>
      <w:r w:rsidR="00CE3810" w:rsidRPr="00C02CD4">
        <w:rPr>
          <w:sz w:val="24"/>
          <w:szCs w:val="24"/>
        </w:rPr>
        <w:t>Graph below shows average population growth estimates for emerging and developed economies from 2016 – 2050.</w:t>
      </w:r>
    </w:p>
    <w:p w:rsidR="009018EC" w:rsidRDefault="008A3A0E" w:rsidP="00E12737">
      <w:pPr>
        <w:jc w:val="center"/>
        <w:rPr>
          <w:sz w:val="24"/>
          <w:szCs w:val="24"/>
        </w:rPr>
      </w:pPr>
      <w:r>
        <w:rPr>
          <w:noProof/>
        </w:rPr>
        <w:lastRenderedPageBreak/>
        <w:drawing>
          <wp:inline distT="0" distB="0" distL="0" distR="0" wp14:anchorId="03E910B4" wp14:editId="1F327A79">
            <wp:extent cx="5942330" cy="234877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154" t="21616" r="21318" b="8167"/>
                    <a:stretch/>
                  </pic:blipFill>
                  <pic:spPr bwMode="auto">
                    <a:xfrm>
                      <a:off x="0" y="0"/>
                      <a:ext cx="5948591" cy="2351249"/>
                    </a:xfrm>
                    <a:prstGeom prst="rect">
                      <a:avLst/>
                    </a:prstGeom>
                    <a:ln>
                      <a:noFill/>
                    </a:ln>
                    <a:extLst>
                      <a:ext uri="{53640926-AAD7-44D8-BBD7-CCE9431645EC}">
                        <a14:shadowObscured xmlns:a14="http://schemas.microsoft.com/office/drawing/2010/main"/>
                      </a:ext>
                    </a:extLst>
                  </pic:spPr>
                </pic:pic>
              </a:graphicData>
            </a:graphic>
          </wp:inline>
        </w:drawing>
      </w:r>
    </w:p>
    <w:p w:rsidR="008A3A0E" w:rsidRDefault="001D44DD" w:rsidP="009018EC">
      <w:pPr>
        <w:jc w:val="both"/>
        <w:rPr>
          <w:sz w:val="24"/>
          <w:szCs w:val="24"/>
        </w:rPr>
      </w:pPr>
      <w:r>
        <w:rPr>
          <w:sz w:val="24"/>
          <w:szCs w:val="24"/>
        </w:rPr>
        <w:t>According to the report, p</w:t>
      </w:r>
      <w:r w:rsidRPr="001D44DD">
        <w:rPr>
          <w:sz w:val="24"/>
          <w:szCs w:val="24"/>
        </w:rPr>
        <w:t>opulation growth will be a key driver of GDP growth in many emerging markets, such as Nigeria, Pakistan and India. But a key challenge will be too create enough jobs in these economies for their young people</w:t>
      </w:r>
      <w:r w:rsidR="00772462">
        <w:rPr>
          <w:rStyle w:val="FootnoteReference"/>
          <w:sz w:val="24"/>
          <w:szCs w:val="24"/>
        </w:rPr>
        <w:footnoteReference w:id="6"/>
      </w:r>
      <w:r w:rsidRPr="001D44DD">
        <w:rPr>
          <w:sz w:val="24"/>
          <w:szCs w:val="24"/>
        </w:rPr>
        <w:t>.</w:t>
      </w:r>
      <w:r>
        <w:rPr>
          <w:sz w:val="24"/>
          <w:szCs w:val="24"/>
        </w:rPr>
        <w:t xml:space="preserve"> </w:t>
      </w:r>
      <w:r w:rsidR="00772462">
        <w:rPr>
          <w:sz w:val="24"/>
          <w:szCs w:val="24"/>
        </w:rPr>
        <w:t xml:space="preserve">This provides ample opportunity for foreign </w:t>
      </w:r>
      <w:r w:rsidR="0054575C">
        <w:rPr>
          <w:sz w:val="24"/>
          <w:szCs w:val="24"/>
        </w:rPr>
        <w:t>capital backed</w:t>
      </w:r>
      <w:r w:rsidR="00772462">
        <w:rPr>
          <w:sz w:val="24"/>
          <w:szCs w:val="24"/>
        </w:rPr>
        <w:t xml:space="preserve"> investment in these markets. </w:t>
      </w:r>
    </w:p>
    <w:p w:rsidR="00812C06" w:rsidRPr="00812C06" w:rsidRDefault="00812C06" w:rsidP="00812C06">
      <w:pPr>
        <w:pStyle w:val="Heading2"/>
        <w:numPr>
          <w:ilvl w:val="0"/>
          <w:numId w:val="5"/>
        </w:numPr>
        <w:rPr>
          <w:rFonts w:asciiTheme="minorHAnsi" w:hAnsiTheme="minorHAnsi"/>
          <w:b/>
          <w:color w:val="auto"/>
          <w:sz w:val="24"/>
          <w:szCs w:val="24"/>
        </w:rPr>
      </w:pPr>
      <w:r w:rsidRPr="00812C06">
        <w:rPr>
          <w:rFonts w:asciiTheme="minorHAnsi" w:hAnsiTheme="minorHAnsi"/>
          <w:b/>
          <w:color w:val="auto"/>
          <w:sz w:val="24"/>
          <w:szCs w:val="24"/>
        </w:rPr>
        <w:t>Market Potential</w:t>
      </w:r>
    </w:p>
    <w:p w:rsidR="00812C06" w:rsidRDefault="00812C06" w:rsidP="00812C06">
      <w:pPr>
        <w:jc w:val="both"/>
        <w:rPr>
          <w:sz w:val="24"/>
          <w:szCs w:val="24"/>
        </w:rPr>
      </w:pPr>
      <w:r>
        <w:rPr>
          <w:sz w:val="24"/>
          <w:szCs w:val="24"/>
        </w:rPr>
        <w:t xml:space="preserve">Closely linked to the present and future demographic advantage provided on a platter by </w:t>
      </w:r>
      <w:r w:rsidR="00F65565">
        <w:rPr>
          <w:sz w:val="24"/>
          <w:szCs w:val="24"/>
        </w:rPr>
        <w:t>emerging markets is the availability of ready offtake for goods produced or exported to these markets</w:t>
      </w:r>
      <w:r w:rsidR="00F97BE3">
        <w:rPr>
          <w:rStyle w:val="FootnoteReference"/>
          <w:sz w:val="24"/>
          <w:szCs w:val="24"/>
        </w:rPr>
        <w:footnoteReference w:id="7"/>
      </w:r>
      <w:r w:rsidR="00F65565">
        <w:rPr>
          <w:sz w:val="24"/>
          <w:szCs w:val="24"/>
        </w:rPr>
        <w:t xml:space="preserve">. </w:t>
      </w:r>
    </w:p>
    <w:p w:rsidR="00F65565" w:rsidRDefault="00F65565" w:rsidP="00F65565">
      <w:pPr>
        <w:pStyle w:val="Heading2"/>
        <w:numPr>
          <w:ilvl w:val="0"/>
          <w:numId w:val="5"/>
        </w:numPr>
        <w:rPr>
          <w:rFonts w:asciiTheme="minorHAnsi" w:hAnsiTheme="minorHAnsi"/>
          <w:b/>
          <w:color w:val="auto"/>
          <w:sz w:val="24"/>
          <w:szCs w:val="24"/>
        </w:rPr>
      </w:pPr>
      <w:r w:rsidRPr="00F65565">
        <w:rPr>
          <w:rFonts w:asciiTheme="minorHAnsi" w:hAnsiTheme="minorHAnsi"/>
          <w:b/>
          <w:color w:val="auto"/>
          <w:sz w:val="24"/>
          <w:szCs w:val="24"/>
        </w:rPr>
        <w:t>Currency Arbitrage</w:t>
      </w:r>
    </w:p>
    <w:p w:rsidR="00F65565" w:rsidRPr="006B4009" w:rsidRDefault="00F65565" w:rsidP="00297059">
      <w:pPr>
        <w:jc w:val="both"/>
        <w:rPr>
          <w:sz w:val="24"/>
          <w:szCs w:val="24"/>
        </w:rPr>
      </w:pPr>
      <w:r w:rsidRPr="006B4009">
        <w:rPr>
          <w:sz w:val="24"/>
          <w:szCs w:val="24"/>
        </w:rPr>
        <w:t xml:space="preserve">Another symptomatic quality of emerging economies is a weak currency. </w:t>
      </w:r>
      <w:r w:rsidR="00B67886" w:rsidRPr="006B4009">
        <w:rPr>
          <w:sz w:val="24"/>
          <w:szCs w:val="24"/>
        </w:rPr>
        <w:t>Whilst causat</w:t>
      </w:r>
      <w:r w:rsidR="00297059" w:rsidRPr="006B4009">
        <w:rPr>
          <w:sz w:val="24"/>
          <w:szCs w:val="24"/>
        </w:rPr>
        <w:t>ive factors vary from downward control</w:t>
      </w:r>
      <w:r w:rsidR="00B67886" w:rsidRPr="006B4009">
        <w:rPr>
          <w:sz w:val="24"/>
          <w:szCs w:val="24"/>
        </w:rPr>
        <w:t xml:space="preserve"> </w:t>
      </w:r>
      <w:r w:rsidR="00297059" w:rsidRPr="006B4009">
        <w:rPr>
          <w:sz w:val="24"/>
          <w:szCs w:val="24"/>
        </w:rPr>
        <w:t>to remain globally competitive (in</w:t>
      </w:r>
      <w:r w:rsidR="00B67886" w:rsidRPr="006B4009">
        <w:rPr>
          <w:sz w:val="24"/>
          <w:szCs w:val="24"/>
        </w:rPr>
        <w:t xml:space="preserve"> export based economies</w:t>
      </w:r>
      <w:r w:rsidR="00297059" w:rsidRPr="006B4009">
        <w:rPr>
          <w:sz w:val="24"/>
          <w:szCs w:val="24"/>
        </w:rPr>
        <w:t xml:space="preserve"> like China),</w:t>
      </w:r>
      <w:r w:rsidR="00B67886" w:rsidRPr="006B4009">
        <w:rPr>
          <w:sz w:val="24"/>
          <w:szCs w:val="24"/>
        </w:rPr>
        <w:t xml:space="preserve"> </w:t>
      </w:r>
      <w:r w:rsidR="00297059" w:rsidRPr="006B4009">
        <w:rPr>
          <w:sz w:val="24"/>
          <w:szCs w:val="24"/>
        </w:rPr>
        <w:t xml:space="preserve">to upward management for monetary stability (in import dependent markets like Nigeria), frontier and developing economies generally provide investors from more developed economies with a profitable arbitrage opportunity for investment </w:t>
      </w:r>
      <w:r w:rsidR="00F97BE3">
        <w:rPr>
          <w:sz w:val="24"/>
          <w:szCs w:val="24"/>
        </w:rPr>
        <w:t>in both the production</w:t>
      </w:r>
      <w:r w:rsidR="00297059" w:rsidRPr="006B4009">
        <w:rPr>
          <w:sz w:val="24"/>
          <w:szCs w:val="24"/>
        </w:rPr>
        <w:t xml:space="preserve"> and money markets of these economies. The availability of a currency</w:t>
      </w:r>
      <w:r w:rsidR="00E80F9A" w:rsidRPr="006B4009">
        <w:rPr>
          <w:sz w:val="24"/>
          <w:szCs w:val="24"/>
        </w:rPr>
        <w:t xml:space="preserve"> arbitrage provides a premium to investments in these markets, particularly those with limited capital control mechanisms</w:t>
      </w:r>
      <w:r w:rsidR="00F97BE3">
        <w:rPr>
          <w:rStyle w:val="FootnoteReference"/>
          <w:sz w:val="24"/>
          <w:szCs w:val="24"/>
        </w:rPr>
        <w:footnoteReference w:id="8"/>
      </w:r>
      <w:r w:rsidR="00E80F9A" w:rsidRPr="006B4009">
        <w:rPr>
          <w:sz w:val="24"/>
          <w:szCs w:val="24"/>
        </w:rPr>
        <w:t>.</w:t>
      </w:r>
    </w:p>
    <w:p w:rsidR="00F65565" w:rsidRDefault="00F65565" w:rsidP="00F65565">
      <w:pPr>
        <w:pStyle w:val="ListParagraph"/>
        <w:numPr>
          <w:ilvl w:val="0"/>
          <w:numId w:val="5"/>
        </w:numPr>
        <w:jc w:val="both"/>
        <w:rPr>
          <w:b/>
          <w:sz w:val="24"/>
          <w:szCs w:val="24"/>
        </w:rPr>
      </w:pPr>
      <w:r w:rsidRPr="00F65565">
        <w:rPr>
          <w:b/>
          <w:sz w:val="24"/>
          <w:szCs w:val="24"/>
        </w:rPr>
        <w:t>Institutional Flexibility</w:t>
      </w:r>
    </w:p>
    <w:p w:rsidR="001A0A1E" w:rsidRPr="001A0A1E" w:rsidRDefault="001A0A1E" w:rsidP="001A0A1E">
      <w:pPr>
        <w:jc w:val="both"/>
        <w:rPr>
          <w:sz w:val="24"/>
          <w:szCs w:val="24"/>
        </w:rPr>
      </w:pPr>
      <w:r>
        <w:rPr>
          <w:sz w:val="24"/>
          <w:szCs w:val="24"/>
        </w:rPr>
        <w:t xml:space="preserve">Whilst often identified as a potential risk to </w:t>
      </w:r>
      <w:r w:rsidR="00D45BD8">
        <w:rPr>
          <w:sz w:val="24"/>
          <w:szCs w:val="24"/>
        </w:rPr>
        <w:t xml:space="preserve">Foreign Direct Investment (FDI) and Foreign Portfolio Investment (FPI) in emerging markets, institutional flexibility, of different forms, continues to attract inflows into these markets. </w:t>
      </w:r>
    </w:p>
    <w:p w:rsidR="00F65565" w:rsidRDefault="00D45BD8" w:rsidP="00F65565">
      <w:pPr>
        <w:pStyle w:val="ListParagraph"/>
        <w:numPr>
          <w:ilvl w:val="0"/>
          <w:numId w:val="5"/>
        </w:numPr>
        <w:jc w:val="both"/>
        <w:rPr>
          <w:b/>
          <w:sz w:val="24"/>
          <w:szCs w:val="24"/>
        </w:rPr>
      </w:pPr>
      <w:r>
        <w:rPr>
          <w:b/>
          <w:sz w:val="24"/>
          <w:szCs w:val="24"/>
        </w:rPr>
        <w:t>Growth Prospects</w:t>
      </w:r>
    </w:p>
    <w:p w:rsidR="000F2640" w:rsidRPr="000F2640" w:rsidRDefault="000F2640" w:rsidP="000F2640">
      <w:pPr>
        <w:jc w:val="both"/>
        <w:rPr>
          <w:sz w:val="24"/>
          <w:szCs w:val="24"/>
        </w:rPr>
      </w:pPr>
      <w:r>
        <w:rPr>
          <w:sz w:val="24"/>
          <w:szCs w:val="24"/>
        </w:rPr>
        <w:lastRenderedPageBreak/>
        <w:t xml:space="preserve">Perhaps </w:t>
      </w:r>
      <w:r w:rsidR="009A327E">
        <w:rPr>
          <w:sz w:val="24"/>
          <w:szCs w:val="24"/>
        </w:rPr>
        <w:t xml:space="preserve">the most general assumption of investors in emerging markets is the </w:t>
      </w:r>
      <w:r w:rsidR="00204954">
        <w:rPr>
          <w:sz w:val="24"/>
          <w:szCs w:val="24"/>
        </w:rPr>
        <w:t>pro</w:t>
      </w:r>
      <w:r w:rsidR="005275A9">
        <w:rPr>
          <w:sz w:val="24"/>
          <w:szCs w:val="24"/>
        </w:rPr>
        <w:t>spects for growth for otherwise</w:t>
      </w:r>
      <w:r w:rsidR="005275A9">
        <w:rPr>
          <w:rStyle w:val="FootnoteReference"/>
          <w:sz w:val="24"/>
          <w:szCs w:val="24"/>
        </w:rPr>
        <w:footnoteReference w:id="9"/>
      </w:r>
    </w:p>
    <w:p w:rsidR="001D44DD" w:rsidRDefault="00F65565" w:rsidP="00E457DC">
      <w:pPr>
        <w:pStyle w:val="ListParagraph"/>
        <w:numPr>
          <w:ilvl w:val="0"/>
          <w:numId w:val="5"/>
        </w:numPr>
        <w:jc w:val="both"/>
        <w:rPr>
          <w:b/>
          <w:sz w:val="24"/>
          <w:szCs w:val="24"/>
        </w:rPr>
      </w:pPr>
      <w:r w:rsidRPr="00F65565">
        <w:rPr>
          <w:b/>
          <w:sz w:val="24"/>
          <w:szCs w:val="24"/>
        </w:rPr>
        <w:t>High returns</w:t>
      </w:r>
    </w:p>
    <w:p w:rsidR="00F97BE3" w:rsidRDefault="00B07E08" w:rsidP="00E457DC">
      <w:pPr>
        <w:jc w:val="both"/>
        <w:rPr>
          <w:sz w:val="24"/>
          <w:szCs w:val="24"/>
        </w:rPr>
      </w:pPr>
      <w:r w:rsidRPr="00B07E08">
        <w:rPr>
          <w:sz w:val="24"/>
          <w:szCs w:val="24"/>
        </w:rPr>
        <w:t xml:space="preserve">According to </w:t>
      </w:r>
      <w:r>
        <w:rPr>
          <w:sz w:val="24"/>
          <w:szCs w:val="24"/>
        </w:rPr>
        <w:t xml:space="preserve">Bloomberg, </w:t>
      </w:r>
      <w:r w:rsidRPr="00B07E08">
        <w:rPr>
          <w:sz w:val="24"/>
          <w:szCs w:val="24"/>
        </w:rPr>
        <w:t>over the past 20 years, nine out of 10 best-performing equity gauges have been in developing nations</w:t>
      </w:r>
      <w:r>
        <w:rPr>
          <w:rStyle w:val="FootnoteReference"/>
          <w:sz w:val="24"/>
          <w:szCs w:val="24"/>
        </w:rPr>
        <w:footnoteReference w:id="10"/>
      </w:r>
      <w:r>
        <w:rPr>
          <w:sz w:val="24"/>
          <w:szCs w:val="24"/>
        </w:rPr>
        <w:t>. Tables below shows country rankings in stock market returns from 1997 to 2016 on an absolute and risk-adjusted basis:</w:t>
      </w:r>
    </w:p>
    <w:p w:rsidR="00F97BE3" w:rsidRDefault="00B07E08" w:rsidP="00E457DC">
      <w:pPr>
        <w:jc w:val="both"/>
        <w:rPr>
          <w:b/>
          <w:sz w:val="24"/>
          <w:szCs w:val="24"/>
        </w:rPr>
      </w:pPr>
      <w:r>
        <w:rPr>
          <w:noProof/>
        </w:rPr>
        <w:drawing>
          <wp:inline distT="0" distB="0" distL="0" distR="0">
            <wp:extent cx="6134100" cy="3867150"/>
            <wp:effectExtent l="0" t="0" r="0" b="0"/>
            <wp:docPr id="2" name="Picture 2" descr="https://assets.bwbx.io/images/users/iqjWHBFdfxIU/iSLvXLp7J8Jw/v3/80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bwbx.io/images/users/iqjWHBFdfxIU/iSLvXLp7J8Jw/v3/800x-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100" cy="3867150"/>
                    </a:xfrm>
                    <a:prstGeom prst="rect">
                      <a:avLst/>
                    </a:prstGeom>
                    <a:noFill/>
                    <a:ln>
                      <a:noFill/>
                    </a:ln>
                  </pic:spPr>
                </pic:pic>
              </a:graphicData>
            </a:graphic>
          </wp:inline>
        </w:drawing>
      </w:r>
    </w:p>
    <w:p w:rsidR="00E93200" w:rsidRPr="006A6B1E" w:rsidRDefault="006A6B1E" w:rsidP="006A6B1E">
      <w:pPr>
        <w:pStyle w:val="Caption"/>
        <w:rPr>
          <w:b/>
          <w:i w:val="0"/>
          <w:color w:val="auto"/>
          <w:sz w:val="16"/>
          <w:szCs w:val="16"/>
        </w:rPr>
      </w:pPr>
      <w:r w:rsidRPr="006A6B1E">
        <w:rPr>
          <w:b/>
          <w:i w:val="0"/>
          <w:color w:val="auto"/>
          <w:sz w:val="16"/>
          <w:szCs w:val="16"/>
        </w:rPr>
        <w:t xml:space="preserve">Table </w:t>
      </w:r>
      <w:r w:rsidRPr="006A6B1E">
        <w:rPr>
          <w:b/>
          <w:i w:val="0"/>
          <w:color w:val="auto"/>
          <w:sz w:val="16"/>
          <w:szCs w:val="16"/>
        </w:rPr>
        <w:fldChar w:fldCharType="begin"/>
      </w:r>
      <w:r w:rsidRPr="006A6B1E">
        <w:rPr>
          <w:b/>
          <w:i w:val="0"/>
          <w:color w:val="auto"/>
          <w:sz w:val="16"/>
          <w:szCs w:val="16"/>
        </w:rPr>
        <w:instrText xml:space="preserve"> SEQ Table \* ARABIC </w:instrText>
      </w:r>
      <w:r w:rsidRPr="006A6B1E">
        <w:rPr>
          <w:b/>
          <w:i w:val="0"/>
          <w:color w:val="auto"/>
          <w:sz w:val="16"/>
          <w:szCs w:val="16"/>
        </w:rPr>
        <w:fldChar w:fldCharType="separate"/>
      </w:r>
      <w:r w:rsidR="00D44A3A">
        <w:rPr>
          <w:b/>
          <w:i w:val="0"/>
          <w:noProof/>
          <w:color w:val="auto"/>
          <w:sz w:val="16"/>
          <w:szCs w:val="16"/>
        </w:rPr>
        <w:t>1</w:t>
      </w:r>
      <w:r w:rsidRPr="006A6B1E">
        <w:rPr>
          <w:b/>
          <w:i w:val="0"/>
          <w:color w:val="auto"/>
          <w:sz w:val="16"/>
          <w:szCs w:val="16"/>
        </w:rPr>
        <w:fldChar w:fldCharType="end"/>
      </w:r>
      <w:r w:rsidRPr="006A6B1E">
        <w:rPr>
          <w:b/>
          <w:i w:val="0"/>
          <w:color w:val="auto"/>
          <w:sz w:val="16"/>
          <w:szCs w:val="16"/>
        </w:rPr>
        <w:t>: Ab</w:t>
      </w:r>
      <w:r w:rsidR="00A97CC2">
        <w:rPr>
          <w:b/>
          <w:i w:val="0"/>
          <w:color w:val="auto"/>
          <w:sz w:val="16"/>
          <w:szCs w:val="16"/>
        </w:rPr>
        <w:t>solute Global Stock Market Performance</w:t>
      </w:r>
    </w:p>
    <w:p w:rsidR="006A6B1E" w:rsidRDefault="006A6B1E" w:rsidP="00E457DC">
      <w:pPr>
        <w:jc w:val="both"/>
        <w:rPr>
          <w:sz w:val="24"/>
          <w:szCs w:val="24"/>
        </w:rPr>
      </w:pPr>
    </w:p>
    <w:p w:rsidR="008025DD" w:rsidRDefault="00A97CC2" w:rsidP="00D8053B">
      <w:pPr>
        <w:pStyle w:val="Caption"/>
        <w:jc w:val="both"/>
        <w:rPr>
          <w:b/>
          <w:i w:val="0"/>
          <w:color w:val="auto"/>
          <w:sz w:val="16"/>
          <w:szCs w:val="16"/>
        </w:rPr>
      </w:pPr>
      <w:r>
        <w:rPr>
          <w:noProof/>
        </w:rPr>
        <w:lastRenderedPageBreak/>
        <w:drawing>
          <wp:inline distT="0" distB="0" distL="0" distR="0" wp14:anchorId="6249F170" wp14:editId="49C04661">
            <wp:extent cx="5942964" cy="3695700"/>
            <wp:effectExtent l="0" t="0" r="1270" b="0"/>
            <wp:docPr id="3" name="Picture 3" descr="https://assets.bwbx.io/images/users/iqjWHBFdfxIU/iCEkrGohQuxs/v3/-1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s.bwbx.io/images/users/iqjWHBFdfxIU/iCEkrGohQuxs/v3/-1x-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3398" cy="3702189"/>
                    </a:xfrm>
                    <a:prstGeom prst="rect">
                      <a:avLst/>
                    </a:prstGeom>
                    <a:noFill/>
                    <a:ln>
                      <a:noFill/>
                    </a:ln>
                  </pic:spPr>
                </pic:pic>
              </a:graphicData>
            </a:graphic>
          </wp:inline>
        </w:drawing>
      </w:r>
    </w:p>
    <w:p w:rsidR="00D8053B" w:rsidRDefault="00A97CC2" w:rsidP="00D8053B">
      <w:pPr>
        <w:pStyle w:val="Caption"/>
        <w:jc w:val="both"/>
        <w:rPr>
          <w:b/>
          <w:i w:val="0"/>
          <w:color w:val="auto"/>
          <w:sz w:val="16"/>
          <w:szCs w:val="16"/>
        </w:rPr>
      </w:pPr>
      <w:r w:rsidRPr="00A97CC2">
        <w:rPr>
          <w:b/>
          <w:i w:val="0"/>
          <w:color w:val="auto"/>
          <w:sz w:val="16"/>
          <w:szCs w:val="16"/>
        </w:rPr>
        <w:t xml:space="preserve">Table </w:t>
      </w:r>
      <w:r w:rsidRPr="00A97CC2">
        <w:rPr>
          <w:b/>
          <w:i w:val="0"/>
          <w:color w:val="auto"/>
          <w:sz w:val="16"/>
          <w:szCs w:val="16"/>
        </w:rPr>
        <w:fldChar w:fldCharType="begin"/>
      </w:r>
      <w:r w:rsidRPr="00A97CC2">
        <w:rPr>
          <w:b/>
          <w:i w:val="0"/>
          <w:color w:val="auto"/>
          <w:sz w:val="16"/>
          <w:szCs w:val="16"/>
        </w:rPr>
        <w:instrText xml:space="preserve"> SEQ Table \* ARABIC </w:instrText>
      </w:r>
      <w:r w:rsidRPr="00A97CC2">
        <w:rPr>
          <w:b/>
          <w:i w:val="0"/>
          <w:color w:val="auto"/>
          <w:sz w:val="16"/>
          <w:szCs w:val="16"/>
        </w:rPr>
        <w:fldChar w:fldCharType="separate"/>
      </w:r>
      <w:r w:rsidR="00D44A3A">
        <w:rPr>
          <w:b/>
          <w:i w:val="0"/>
          <w:noProof/>
          <w:color w:val="auto"/>
          <w:sz w:val="16"/>
          <w:szCs w:val="16"/>
        </w:rPr>
        <w:t>2</w:t>
      </w:r>
      <w:r w:rsidRPr="00A97CC2">
        <w:rPr>
          <w:b/>
          <w:i w:val="0"/>
          <w:color w:val="auto"/>
          <w:sz w:val="16"/>
          <w:szCs w:val="16"/>
        </w:rPr>
        <w:fldChar w:fldCharType="end"/>
      </w:r>
      <w:r w:rsidRPr="00A97CC2">
        <w:rPr>
          <w:b/>
          <w:i w:val="0"/>
          <w:color w:val="auto"/>
          <w:sz w:val="16"/>
          <w:szCs w:val="16"/>
        </w:rPr>
        <w:t>: Global Stock</w:t>
      </w:r>
      <w:r>
        <w:rPr>
          <w:b/>
          <w:i w:val="0"/>
          <w:color w:val="auto"/>
          <w:sz w:val="16"/>
          <w:szCs w:val="16"/>
        </w:rPr>
        <w:t xml:space="preserve"> Market Risk Adjusted Performance</w:t>
      </w:r>
    </w:p>
    <w:p w:rsidR="00D8053B" w:rsidRDefault="00D8053B" w:rsidP="00D8053B">
      <w:pPr>
        <w:pStyle w:val="Caption"/>
        <w:jc w:val="both"/>
        <w:rPr>
          <w:i w:val="0"/>
          <w:iCs w:val="0"/>
          <w:color w:val="auto"/>
          <w:sz w:val="24"/>
          <w:szCs w:val="24"/>
        </w:rPr>
      </w:pPr>
      <w:r>
        <w:rPr>
          <w:i w:val="0"/>
          <w:iCs w:val="0"/>
          <w:color w:val="auto"/>
          <w:sz w:val="24"/>
          <w:szCs w:val="24"/>
        </w:rPr>
        <w:t xml:space="preserve">The </w:t>
      </w:r>
      <w:r w:rsidR="00C35D7B">
        <w:rPr>
          <w:i w:val="0"/>
          <w:iCs w:val="0"/>
          <w:color w:val="auto"/>
          <w:sz w:val="24"/>
          <w:szCs w:val="24"/>
        </w:rPr>
        <w:t>purpose of every investment is to optimize returns. And these anomalies in this highly complex markets hold immense potential for the type of returns forward thinking and risk embracing investors seek globally. In addition, whilst global markets are now more susceptible to happenings in other markets, emerging markets are still less correlated with downturns in more developed markets</w:t>
      </w:r>
      <w:r w:rsidR="00C35D7B">
        <w:rPr>
          <w:rStyle w:val="FootnoteReference"/>
          <w:i w:val="0"/>
          <w:iCs w:val="0"/>
          <w:color w:val="auto"/>
          <w:sz w:val="24"/>
          <w:szCs w:val="24"/>
        </w:rPr>
        <w:footnoteReference w:id="11"/>
      </w:r>
      <w:r w:rsidR="006D4193">
        <w:rPr>
          <w:i w:val="0"/>
          <w:iCs w:val="0"/>
          <w:color w:val="auto"/>
          <w:sz w:val="24"/>
          <w:szCs w:val="24"/>
        </w:rPr>
        <w:t xml:space="preserve"> and counterintuitively mitigate portfolio risk</w:t>
      </w:r>
      <w:r w:rsidR="00C43305">
        <w:rPr>
          <w:i w:val="0"/>
          <w:iCs w:val="0"/>
          <w:color w:val="auto"/>
          <w:sz w:val="24"/>
          <w:szCs w:val="24"/>
        </w:rPr>
        <w:t xml:space="preserve"> through diversification</w:t>
      </w:r>
      <w:r w:rsidR="006D4193">
        <w:rPr>
          <w:i w:val="0"/>
          <w:iCs w:val="0"/>
          <w:color w:val="auto"/>
          <w:sz w:val="24"/>
          <w:szCs w:val="24"/>
        </w:rPr>
        <w:t xml:space="preserve">. </w:t>
      </w:r>
    </w:p>
    <w:p w:rsidR="00E457DC" w:rsidRPr="00D8053B" w:rsidRDefault="007A3F96" w:rsidP="00D8053B">
      <w:pPr>
        <w:pStyle w:val="Caption"/>
        <w:jc w:val="both"/>
        <w:rPr>
          <w:i w:val="0"/>
          <w:iCs w:val="0"/>
          <w:color w:val="auto"/>
          <w:sz w:val="24"/>
          <w:szCs w:val="24"/>
        </w:rPr>
      </w:pPr>
      <w:r w:rsidRPr="00C43305">
        <w:rPr>
          <w:i w:val="0"/>
          <w:iCs w:val="0"/>
          <w:color w:val="auto"/>
          <w:sz w:val="24"/>
          <w:szCs w:val="24"/>
          <w:highlight w:val="yellow"/>
        </w:rPr>
        <w:t xml:space="preserve">Although emerging markets offer diversification opportunities, investment in emerging markets </w:t>
      </w:r>
      <w:r w:rsidR="00C43305" w:rsidRPr="00C43305">
        <w:rPr>
          <w:i w:val="0"/>
          <w:iCs w:val="0"/>
          <w:color w:val="auto"/>
          <w:sz w:val="24"/>
          <w:szCs w:val="24"/>
          <w:highlight w:val="yellow"/>
        </w:rPr>
        <w:t xml:space="preserve">also </w:t>
      </w:r>
      <w:r w:rsidRPr="00C43305">
        <w:rPr>
          <w:i w:val="0"/>
          <w:iCs w:val="0"/>
          <w:color w:val="auto"/>
          <w:sz w:val="24"/>
          <w:szCs w:val="24"/>
          <w:highlight w:val="yellow"/>
        </w:rPr>
        <w:t xml:space="preserve">increase in </w:t>
      </w:r>
      <w:r w:rsidR="00C43305" w:rsidRPr="00C43305">
        <w:rPr>
          <w:i w:val="0"/>
          <w:iCs w:val="0"/>
          <w:color w:val="auto"/>
          <w:sz w:val="24"/>
          <w:szCs w:val="24"/>
          <w:highlight w:val="yellow"/>
        </w:rPr>
        <w:t xml:space="preserve">the </w:t>
      </w:r>
      <w:r w:rsidRPr="00C43305">
        <w:rPr>
          <w:i w:val="0"/>
          <w:iCs w:val="0"/>
          <w:color w:val="auto"/>
          <w:sz w:val="24"/>
          <w:szCs w:val="24"/>
          <w:highlight w:val="yellow"/>
        </w:rPr>
        <w:t xml:space="preserve">portfolio </w:t>
      </w:r>
      <w:r w:rsidR="00C43305" w:rsidRPr="00C43305">
        <w:rPr>
          <w:i w:val="0"/>
          <w:iCs w:val="0"/>
          <w:color w:val="auto"/>
          <w:sz w:val="24"/>
          <w:szCs w:val="24"/>
          <w:highlight w:val="yellow"/>
        </w:rPr>
        <w:t xml:space="preserve">exposure to </w:t>
      </w:r>
      <w:r w:rsidRPr="00C43305">
        <w:rPr>
          <w:i w:val="0"/>
          <w:iCs w:val="0"/>
          <w:color w:val="auto"/>
          <w:sz w:val="24"/>
          <w:szCs w:val="24"/>
          <w:highlight w:val="yellow"/>
        </w:rPr>
        <w:t xml:space="preserve">risk. The reason for this is not far removed from the core reasons for the reoccurring abnormal interest and capital flows to these markets. As investment is a positive response to perceived or identified risks, the incremental yield available in emerging market portfolio must be relatively comparable to yields in developed economies. This trade-off, in the light of increasing </w:t>
      </w:r>
      <w:r w:rsidR="00182D9D" w:rsidRPr="00C43305">
        <w:rPr>
          <w:i w:val="0"/>
          <w:iCs w:val="0"/>
          <w:color w:val="auto"/>
          <w:sz w:val="24"/>
          <w:szCs w:val="24"/>
          <w:highlight w:val="yellow"/>
        </w:rPr>
        <w:t>volatility, and concomitant</w:t>
      </w:r>
      <w:r w:rsidRPr="00C43305">
        <w:rPr>
          <w:i w:val="0"/>
          <w:iCs w:val="0"/>
          <w:color w:val="auto"/>
          <w:sz w:val="24"/>
          <w:szCs w:val="24"/>
          <w:highlight w:val="yellow"/>
        </w:rPr>
        <w:t>ly</w:t>
      </w:r>
      <w:r w:rsidR="00182D9D" w:rsidRPr="00C43305">
        <w:rPr>
          <w:i w:val="0"/>
          <w:iCs w:val="0"/>
          <w:color w:val="auto"/>
          <w:sz w:val="24"/>
          <w:szCs w:val="24"/>
          <w:highlight w:val="yellow"/>
        </w:rPr>
        <w:t xml:space="preserve">, returns, in otherwise stable economies, is the over-arching threat to investment in emerging markets. The weaknesses </w:t>
      </w:r>
      <w:r w:rsidR="00515582" w:rsidRPr="00C43305">
        <w:rPr>
          <w:i w:val="0"/>
          <w:iCs w:val="0"/>
          <w:color w:val="auto"/>
          <w:sz w:val="24"/>
          <w:szCs w:val="24"/>
          <w:highlight w:val="yellow"/>
        </w:rPr>
        <w:t>exposed by this necessary trade-</w:t>
      </w:r>
      <w:r w:rsidR="00182D9D" w:rsidRPr="00C43305">
        <w:rPr>
          <w:i w:val="0"/>
          <w:iCs w:val="0"/>
          <w:color w:val="auto"/>
          <w:sz w:val="24"/>
          <w:szCs w:val="24"/>
          <w:highlight w:val="yellow"/>
        </w:rPr>
        <w:t>off are as follows:</w:t>
      </w:r>
    </w:p>
    <w:p w:rsidR="00182D9D" w:rsidRDefault="00182D9D" w:rsidP="00515582">
      <w:pPr>
        <w:pStyle w:val="ListParagraph"/>
        <w:numPr>
          <w:ilvl w:val="0"/>
          <w:numId w:val="7"/>
        </w:numPr>
        <w:jc w:val="both"/>
        <w:rPr>
          <w:b/>
          <w:sz w:val="24"/>
          <w:szCs w:val="24"/>
        </w:rPr>
      </w:pPr>
      <w:r w:rsidRPr="00515582">
        <w:rPr>
          <w:b/>
          <w:sz w:val="24"/>
          <w:szCs w:val="24"/>
        </w:rPr>
        <w:t>Economic Instability</w:t>
      </w:r>
    </w:p>
    <w:p w:rsidR="00515582" w:rsidRPr="00515582" w:rsidRDefault="00515582" w:rsidP="00515582">
      <w:pPr>
        <w:jc w:val="both"/>
        <w:rPr>
          <w:sz w:val="24"/>
          <w:szCs w:val="24"/>
        </w:rPr>
      </w:pPr>
      <w:r>
        <w:rPr>
          <w:sz w:val="24"/>
          <w:szCs w:val="24"/>
        </w:rPr>
        <w:t>Policy instability, ambiguity or inconsistency is a trait all emergi</w:t>
      </w:r>
      <w:r w:rsidR="009C394D">
        <w:rPr>
          <w:sz w:val="24"/>
          <w:szCs w:val="24"/>
        </w:rPr>
        <w:t xml:space="preserve">ng markets share and is a key trigger of the arbitrage opportunity these markets present to savvy and the not so informed investors. Emerging market regulators are known to use monetary and fiscal policies to further </w:t>
      </w:r>
      <w:r w:rsidR="009C394D">
        <w:rPr>
          <w:sz w:val="24"/>
          <w:szCs w:val="24"/>
        </w:rPr>
        <w:lastRenderedPageBreak/>
        <w:t xml:space="preserve">the economic goals of incumbent governments, to the frustration of market analysts and the dismay of international financial institutions like the IMF and the World Bank. </w:t>
      </w:r>
    </w:p>
    <w:p w:rsidR="00182D9D" w:rsidRDefault="00182D9D" w:rsidP="00515582">
      <w:pPr>
        <w:pStyle w:val="ListParagraph"/>
        <w:numPr>
          <w:ilvl w:val="0"/>
          <w:numId w:val="7"/>
        </w:numPr>
        <w:jc w:val="both"/>
        <w:rPr>
          <w:b/>
          <w:sz w:val="24"/>
          <w:szCs w:val="24"/>
        </w:rPr>
      </w:pPr>
      <w:r w:rsidRPr="00515582">
        <w:rPr>
          <w:b/>
          <w:sz w:val="24"/>
          <w:szCs w:val="24"/>
        </w:rPr>
        <w:t>Institutional Framework</w:t>
      </w:r>
    </w:p>
    <w:p w:rsidR="009C394D" w:rsidRPr="00CD028B" w:rsidRDefault="007675B0" w:rsidP="005A5246">
      <w:pPr>
        <w:spacing w:line="276" w:lineRule="auto"/>
        <w:jc w:val="both"/>
        <w:rPr>
          <w:sz w:val="24"/>
          <w:szCs w:val="24"/>
        </w:rPr>
      </w:pPr>
      <w:r w:rsidRPr="00CD028B">
        <w:rPr>
          <w:sz w:val="24"/>
          <w:szCs w:val="24"/>
        </w:rPr>
        <w:t>Douglas North defined institution as “</w:t>
      </w:r>
      <w:r w:rsidRPr="00CD028B">
        <w:rPr>
          <w:sz w:val="24"/>
          <w:szCs w:val="24"/>
        </w:rPr>
        <w:t>the rules of the game in a society or, more formally, are the humanly devised constraint</w:t>
      </w:r>
      <w:r w:rsidRPr="00CD028B">
        <w:rPr>
          <w:sz w:val="24"/>
          <w:szCs w:val="24"/>
        </w:rPr>
        <w:t xml:space="preserve">s that shape human interaction”. The efficiency of institutions in a country is measured by the degree of participation of the citizenry and the degree of benefit that accrues to the larger society. </w:t>
      </w:r>
      <w:r w:rsidR="00B67E0A" w:rsidRPr="00CD028B">
        <w:rPr>
          <w:sz w:val="24"/>
          <w:szCs w:val="24"/>
        </w:rPr>
        <w:t>According the World Economic Forum (WEF), there is a preponderance of evidence linking social inclusion with growth in GDP per capita and broad based improvement in living standards of all citizens is critical to the sustenance of growth in emerging and developing economies</w:t>
      </w:r>
      <w:r w:rsidR="00B67E0A" w:rsidRPr="00CD028B">
        <w:rPr>
          <w:rStyle w:val="FootnoteReference"/>
          <w:sz w:val="24"/>
          <w:szCs w:val="24"/>
        </w:rPr>
        <w:footnoteReference w:id="12"/>
      </w:r>
      <w:r w:rsidR="00B67E0A" w:rsidRPr="00CD028B">
        <w:rPr>
          <w:sz w:val="24"/>
          <w:szCs w:val="24"/>
        </w:rPr>
        <w:t xml:space="preserve">. </w:t>
      </w:r>
    </w:p>
    <w:p w:rsidR="00F27754" w:rsidRPr="00CD028B" w:rsidRDefault="00B67E0A" w:rsidP="005A5246">
      <w:pPr>
        <w:autoSpaceDE w:val="0"/>
        <w:autoSpaceDN w:val="0"/>
        <w:adjustRightInd w:val="0"/>
        <w:spacing w:after="0" w:line="276" w:lineRule="auto"/>
        <w:jc w:val="both"/>
        <w:rPr>
          <w:sz w:val="24"/>
          <w:szCs w:val="24"/>
        </w:rPr>
      </w:pPr>
      <w:r w:rsidRPr="00CD028B">
        <w:rPr>
          <w:sz w:val="24"/>
          <w:szCs w:val="24"/>
        </w:rPr>
        <w:t xml:space="preserve">As the first pillar in the WEF’s GCF, the institutional framework of a country is dependent on the efficiency and ‘culture’ of the public and private stakeholders. </w:t>
      </w:r>
      <w:r w:rsidR="00C55131" w:rsidRPr="00CD028B">
        <w:rPr>
          <w:sz w:val="24"/>
          <w:szCs w:val="24"/>
        </w:rPr>
        <w:t>The concern with emerging economies is the presence of gaps and overlaps in the legal,</w:t>
      </w:r>
      <w:r w:rsidR="00024CB8" w:rsidRPr="00CD028B">
        <w:rPr>
          <w:sz w:val="24"/>
          <w:szCs w:val="24"/>
        </w:rPr>
        <w:t xml:space="preserve"> regulatory, </w:t>
      </w:r>
      <w:r w:rsidR="00C55131" w:rsidRPr="00CD028B">
        <w:rPr>
          <w:sz w:val="24"/>
          <w:szCs w:val="24"/>
        </w:rPr>
        <w:t>e</w:t>
      </w:r>
      <w:r w:rsidR="00024CB8" w:rsidRPr="00CD028B">
        <w:rPr>
          <w:sz w:val="24"/>
          <w:szCs w:val="24"/>
        </w:rPr>
        <w:t>conomic</w:t>
      </w:r>
      <w:r w:rsidR="00C55131" w:rsidRPr="00CD028B">
        <w:rPr>
          <w:sz w:val="24"/>
          <w:szCs w:val="24"/>
        </w:rPr>
        <w:t xml:space="preserve"> and political institutions within these countries. A key consideration for investors is predictability </w:t>
      </w:r>
      <w:r w:rsidR="00F27754" w:rsidRPr="00CD028B">
        <w:rPr>
          <w:sz w:val="24"/>
          <w:szCs w:val="24"/>
        </w:rPr>
        <w:t xml:space="preserve">and </w:t>
      </w:r>
      <w:r w:rsidR="00024CB8" w:rsidRPr="00CD028B">
        <w:rPr>
          <w:sz w:val="24"/>
          <w:szCs w:val="24"/>
        </w:rPr>
        <w:t xml:space="preserve">stability of key pillars of society. </w:t>
      </w:r>
      <w:r w:rsidR="00F27754" w:rsidRPr="00CD028B">
        <w:rPr>
          <w:sz w:val="24"/>
          <w:szCs w:val="24"/>
        </w:rPr>
        <w:t xml:space="preserve">Underdeveloped or weak institutional framework make this unachievable leaving multinational companies (MNCs) and investors in the capital market to develop informal structures to support their businesses or investments in these economies. </w:t>
      </w:r>
    </w:p>
    <w:p w:rsidR="00F27754" w:rsidRPr="00CD028B" w:rsidRDefault="00F27754" w:rsidP="005A5246">
      <w:pPr>
        <w:autoSpaceDE w:val="0"/>
        <w:autoSpaceDN w:val="0"/>
        <w:adjustRightInd w:val="0"/>
        <w:spacing w:after="0" w:line="276" w:lineRule="auto"/>
        <w:jc w:val="both"/>
        <w:rPr>
          <w:sz w:val="24"/>
          <w:szCs w:val="24"/>
        </w:rPr>
      </w:pPr>
    </w:p>
    <w:p w:rsidR="00B67E0A" w:rsidRPr="00CD028B" w:rsidRDefault="00F27754" w:rsidP="005A5246">
      <w:pPr>
        <w:autoSpaceDE w:val="0"/>
        <w:autoSpaceDN w:val="0"/>
        <w:adjustRightInd w:val="0"/>
        <w:spacing w:after="0" w:line="276" w:lineRule="auto"/>
        <w:jc w:val="both"/>
        <w:rPr>
          <w:sz w:val="24"/>
          <w:szCs w:val="24"/>
        </w:rPr>
      </w:pPr>
      <w:r w:rsidRPr="00CD028B">
        <w:rPr>
          <w:sz w:val="24"/>
          <w:szCs w:val="24"/>
        </w:rPr>
        <w:t>“</w:t>
      </w:r>
      <w:r w:rsidRPr="00CD028B">
        <w:rPr>
          <w:sz w:val="24"/>
          <w:szCs w:val="24"/>
        </w:rPr>
        <w:t>The existence of institutional voids</w:t>
      </w:r>
      <w:r w:rsidRPr="00CD028B">
        <w:rPr>
          <w:sz w:val="24"/>
          <w:szCs w:val="24"/>
        </w:rPr>
        <w:t xml:space="preserve"> </w:t>
      </w:r>
      <w:r w:rsidRPr="00CD028B">
        <w:rPr>
          <w:sz w:val="24"/>
          <w:szCs w:val="24"/>
        </w:rPr>
        <w:t>and consequent market failures are a key distinction between emerging and developed</w:t>
      </w:r>
      <w:r w:rsidRPr="00CD028B">
        <w:rPr>
          <w:sz w:val="24"/>
          <w:szCs w:val="24"/>
        </w:rPr>
        <w:t xml:space="preserve"> </w:t>
      </w:r>
      <w:r w:rsidRPr="00CD028B">
        <w:rPr>
          <w:sz w:val="24"/>
          <w:szCs w:val="24"/>
        </w:rPr>
        <w:t>markets. Main sources of market failures due to institutional voids include: lack of</w:t>
      </w:r>
      <w:r w:rsidRPr="00CD028B">
        <w:rPr>
          <w:sz w:val="24"/>
          <w:szCs w:val="24"/>
        </w:rPr>
        <w:t xml:space="preserve"> </w:t>
      </w:r>
      <w:r w:rsidRPr="00CD028B">
        <w:rPr>
          <w:sz w:val="24"/>
          <w:szCs w:val="24"/>
        </w:rPr>
        <w:t>reliable and adequate information for consumers, employers in labor markets and</w:t>
      </w:r>
      <w:r w:rsidRPr="00CD028B">
        <w:rPr>
          <w:sz w:val="24"/>
          <w:szCs w:val="24"/>
        </w:rPr>
        <w:t xml:space="preserve">  </w:t>
      </w:r>
      <w:r w:rsidRPr="00CD028B">
        <w:rPr>
          <w:sz w:val="24"/>
          <w:szCs w:val="24"/>
        </w:rPr>
        <w:t>investors to assess the quality of goods, services and investments; misguided</w:t>
      </w:r>
      <w:r w:rsidRPr="00CD028B">
        <w:rPr>
          <w:sz w:val="24"/>
          <w:szCs w:val="24"/>
        </w:rPr>
        <w:t xml:space="preserve"> </w:t>
      </w:r>
      <w:r w:rsidRPr="00CD028B">
        <w:rPr>
          <w:sz w:val="24"/>
          <w:szCs w:val="24"/>
        </w:rPr>
        <w:t>regulations by local governments that favor political goals over economic efficiency</w:t>
      </w:r>
      <w:r w:rsidRPr="00CD028B">
        <w:rPr>
          <w:sz w:val="24"/>
          <w:szCs w:val="24"/>
        </w:rPr>
        <w:t xml:space="preserve"> </w:t>
      </w:r>
      <w:r w:rsidRPr="00CD028B">
        <w:rPr>
          <w:sz w:val="24"/>
          <w:szCs w:val="24"/>
        </w:rPr>
        <w:t>(such as employment-protection laws to bolster social stability at the cost of labor</w:t>
      </w:r>
      <w:r w:rsidRPr="00CD028B">
        <w:rPr>
          <w:sz w:val="24"/>
          <w:szCs w:val="24"/>
        </w:rPr>
        <w:t xml:space="preserve"> </w:t>
      </w:r>
      <w:r w:rsidRPr="00CD028B">
        <w:rPr>
          <w:sz w:val="24"/>
          <w:szCs w:val="24"/>
        </w:rPr>
        <w:t>market flexibility); inefficient judicial systems that are incapable of enforcing contracts</w:t>
      </w:r>
      <w:r w:rsidRPr="00CD028B">
        <w:rPr>
          <w:sz w:val="24"/>
          <w:szCs w:val="24"/>
        </w:rPr>
        <w:t xml:space="preserve"> </w:t>
      </w:r>
      <w:r w:rsidRPr="00CD028B">
        <w:rPr>
          <w:sz w:val="24"/>
          <w:szCs w:val="24"/>
        </w:rPr>
        <w:t>in a reliable and predictable way (and so considerably increase uncertainty and</w:t>
      </w:r>
      <w:r w:rsidRPr="00CD028B">
        <w:rPr>
          <w:sz w:val="24"/>
          <w:szCs w:val="24"/>
        </w:rPr>
        <w:t xml:space="preserve"> </w:t>
      </w:r>
      <w:r w:rsidRPr="00CD028B">
        <w:rPr>
          <w:sz w:val="24"/>
          <w:szCs w:val="24"/>
        </w:rPr>
        <w:t>consequently transaction costs for MNCs when doing business in these markets);</w:t>
      </w:r>
      <w:r w:rsidRPr="00CD028B">
        <w:rPr>
          <w:sz w:val="24"/>
          <w:szCs w:val="24"/>
        </w:rPr>
        <w:t xml:space="preserve"> </w:t>
      </w:r>
      <w:r w:rsidRPr="00CD028B">
        <w:rPr>
          <w:sz w:val="24"/>
          <w:szCs w:val="24"/>
        </w:rPr>
        <w:t>and the absence of intermediary institutions that facilitate economic transactions, such</w:t>
      </w:r>
      <w:r w:rsidRPr="00CD028B">
        <w:rPr>
          <w:sz w:val="24"/>
          <w:szCs w:val="24"/>
        </w:rPr>
        <w:t xml:space="preserve"> </w:t>
      </w:r>
      <w:r w:rsidRPr="00CD028B">
        <w:rPr>
          <w:sz w:val="24"/>
          <w:szCs w:val="24"/>
        </w:rPr>
        <w:t>as functioning financial markets, audit committees and certification agencies, as well as</w:t>
      </w:r>
      <w:r w:rsidRPr="00CD028B">
        <w:rPr>
          <w:sz w:val="24"/>
          <w:szCs w:val="24"/>
        </w:rPr>
        <w:t xml:space="preserve"> </w:t>
      </w:r>
      <w:r w:rsidRPr="00CD028B">
        <w:rPr>
          <w:sz w:val="24"/>
          <w:szCs w:val="24"/>
        </w:rPr>
        <w:t>aggregators and distributors (which make it considerably more costly to acquire</w:t>
      </w:r>
      <w:r w:rsidRPr="00CD028B">
        <w:rPr>
          <w:sz w:val="24"/>
          <w:szCs w:val="24"/>
        </w:rPr>
        <w:t xml:space="preserve"> </w:t>
      </w:r>
      <w:r w:rsidRPr="00CD028B">
        <w:rPr>
          <w:sz w:val="24"/>
          <w:szCs w:val="24"/>
        </w:rPr>
        <w:t>necessary inputs such as financial resources, management talent, technology, etc. and</w:t>
      </w:r>
      <w:r w:rsidRPr="00CD028B">
        <w:rPr>
          <w:sz w:val="24"/>
          <w:szCs w:val="24"/>
        </w:rPr>
        <w:t xml:space="preserve"> </w:t>
      </w:r>
      <w:r w:rsidRPr="00CD028B">
        <w:rPr>
          <w:sz w:val="24"/>
          <w:szCs w:val="24"/>
        </w:rPr>
        <w:t>so more risky to conduct business in emerging markets</w:t>
      </w:r>
      <w:r w:rsidRPr="00CD028B">
        <w:rPr>
          <w:sz w:val="24"/>
          <w:szCs w:val="24"/>
        </w:rPr>
        <w:t xml:space="preserve">, and also limits the scope for </w:t>
      </w:r>
      <w:r w:rsidRPr="00CD028B">
        <w:rPr>
          <w:sz w:val="24"/>
          <w:szCs w:val="24"/>
        </w:rPr>
        <w:t>sustainable economic growth in these markets)</w:t>
      </w:r>
      <w:r w:rsidRPr="00CD028B">
        <w:rPr>
          <w:sz w:val="24"/>
          <w:szCs w:val="24"/>
        </w:rPr>
        <w:t>”</w:t>
      </w:r>
      <w:r w:rsidRPr="00CD028B">
        <w:rPr>
          <w:sz w:val="24"/>
          <w:szCs w:val="24"/>
        </w:rPr>
        <w:t xml:space="preserve"> (Khanna and </w:t>
      </w:r>
      <w:proofErr w:type="spellStart"/>
      <w:r w:rsidRPr="00CD028B">
        <w:rPr>
          <w:sz w:val="24"/>
          <w:szCs w:val="24"/>
        </w:rPr>
        <w:t>Palepu</w:t>
      </w:r>
      <w:proofErr w:type="spellEnd"/>
      <w:r w:rsidRPr="00CD028B">
        <w:rPr>
          <w:sz w:val="24"/>
          <w:szCs w:val="24"/>
        </w:rPr>
        <w:t>, 1997, 1999,</w:t>
      </w:r>
      <w:r w:rsidRPr="00CD028B">
        <w:rPr>
          <w:sz w:val="24"/>
          <w:szCs w:val="24"/>
        </w:rPr>
        <w:t xml:space="preserve"> </w:t>
      </w:r>
      <w:r w:rsidRPr="00CD028B">
        <w:rPr>
          <w:sz w:val="24"/>
          <w:szCs w:val="24"/>
        </w:rPr>
        <w:t>2000, 2005)</w:t>
      </w:r>
      <w:r w:rsidRPr="00CD028B">
        <w:rPr>
          <w:rStyle w:val="FootnoteReference"/>
          <w:sz w:val="24"/>
          <w:szCs w:val="24"/>
        </w:rPr>
        <w:footnoteReference w:id="13"/>
      </w:r>
      <w:r w:rsidRPr="00CD028B">
        <w:rPr>
          <w:sz w:val="24"/>
          <w:szCs w:val="24"/>
        </w:rPr>
        <w:t>.</w:t>
      </w:r>
      <w:r w:rsidRPr="00CD028B">
        <w:rPr>
          <w:sz w:val="24"/>
          <w:szCs w:val="24"/>
        </w:rPr>
        <w:t xml:space="preserve"> </w:t>
      </w:r>
    </w:p>
    <w:p w:rsidR="005A5246" w:rsidRPr="00CD028B" w:rsidRDefault="005A5246" w:rsidP="005A5246">
      <w:pPr>
        <w:autoSpaceDE w:val="0"/>
        <w:autoSpaceDN w:val="0"/>
        <w:adjustRightInd w:val="0"/>
        <w:spacing w:after="0" w:line="276" w:lineRule="auto"/>
        <w:jc w:val="both"/>
        <w:rPr>
          <w:sz w:val="24"/>
          <w:szCs w:val="24"/>
        </w:rPr>
      </w:pPr>
    </w:p>
    <w:p w:rsidR="001F7D58" w:rsidRDefault="005A5246" w:rsidP="005A5246">
      <w:pPr>
        <w:autoSpaceDE w:val="0"/>
        <w:autoSpaceDN w:val="0"/>
        <w:adjustRightInd w:val="0"/>
        <w:spacing w:after="0" w:line="276" w:lineRule="auto"/>
        <w:jc w:val="both"/>
        <w:rPr>
          <w:sz w:val="24"/>
          <w:szCs w:val="24"/>
        </w:rPr>
      </w:pPr>
      <w:r w:rsidRPr="00CD028B">
        <w:rPr>
          <w:sz w:val="24"/>
          <w:szCs w:val="24"/>
        </w:rPr>
        <w:lastRenderedPageBreak/>
        <w:t xml:space="preserve">The effect of under-developed institutions in emerging markets has negatively impacted on the influx of capital into these regions. The inability of potential investors see take an end-to-end view of potential investments have heightened the perception of risks inherent in these regions and consequently, the risk adjusted returns for every dollar. </w:t>
      </w:r>
    </w:p>
    <w:p w:rsidR="001F7D58" w:rsidRDefault="001F7D58" w:rsidP="005A5246">
      <w:pPr>
        <w:autoSpaceDE w:val="0"/>
        <w:autoSpaceDN w:val="0"/>
        <w:adjustRightInd w:val="0"/>
        <w:spacing w:after="0" w:line="276" w:lineRule="auto"/>
        <w:jc w:val="both"/>
        <w:rPr>
          <w:sz w:val="24"/>
          <w:szCs w:val="24"/>
        </w:rPr>
      </w:pPr>
    </w:p>
    <w:p w:rsidR="001F7D58" w:rsidRDefault="001F7D58" w:rsidP="005A5246">
      <w:pPr>
        <w:autoSpaceDE w:val="0"/>
        <w:autoSpaceDN w:val="0"/>
        <w:adjustRightInd w:val="0"/>
        <w:spacing w:after="0" w:line="276" w:lineRule="auto"/>
        <w:jc w:val="both"/>
        <w:rPr>
          <w:sz w:val="24"/>
          <w:szCs w:val="24"/>
        </w:rPr>
      </w:pPr>
      <w:r>
        <w:rPr>
          <w:sz w:val="24"/>
          <w:szCs w:val="24"/>
        </w:rPr>
        <w:t xml:space="preserve">A research conducted by FTI Consulting (2015) polled the effects of regulatory risk of foreign investment in emerging economies. Loss of revenues (returns) and reputational harm were </w:t>
      </w:r>
      <w:r w:rsidR="00D44A3A">
        <w:rPr>
          <w:sz w:val="24"/>
          <w:szCs w:val="24"/>
        </w:rPr>
        <w:t>the most cited as direct impact as shown in the table below:</w:t>
      </w:r>
    </w:p>
    <w:p w:rsidR="001F7D58" w:rsidRDefault="001F7D58" w:rsidP="005A5246">
      <w:pPr>
        <w:autoSpaceDE w:val="0"/>
        <w:autoSpaceDN w:val="0"/>
        <w:adjustRightInd w:val="0"/>
        <w:spacing w:after="0" w:line="276" w:lineRule="auto"/>
        <w:jc w:val="both"/>
        <w:rPr>
          <w:sz w:val="24"/>
          <w:szCs w:val="24"/>
        </w:rPr>
      </w:pPr>
    </w:p>
    <w:p w:rsidR="001F7D58" w:rsidRDefault="001F7D58" w:rsidP="005A5246">
      <w:pPr>
        <w:autoSpaceDE w:val="0"/>
        <w:autoSpaceDN w:val="0"/>
        <w:adjustRightInd w:val="0"/>
        <w:spacing w:after="0" w:line="276" w:lineRule="auto"/>
        <w:jc w:val="both"/>
        <w:rPr>
          <w:sz w:val="24"/>
          <w:szCs w:val="24"/>
        </w:rPr>
      </w:pPr>
      <w:r w:rsidRPr="001F7D58">
        <w:rPr>
          <w:noProof/>
          <w:sz w:val="24"/>
          <w:szCs w:val="24"/>
        </w:rPr>
        <w:drawing>
          <wp:inline distT="0" distB="0" distL="0" distR="0">
            <wp:extent cx="5914359" cy="3056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lum bright="-20000" contrast="40000"/>
                      <a:extLst>
                        <a:ext uri="{28A0092B-C50C-407E-A947-70E740481C1C}">
                          <a14:useLocalDpi xmlns:a14="http://schemas.microsoft.com/office/drawing/2010/main" val="0"/>
                        </a:ext>
                      </a:extLst>
                    </a:blip>
                    <a:srcRect t="8287"/>
                    <a:stretch/>
                  </pic:blipFill>
                  <pic:spPr bwMode="auto">
                    <a:xfrm>
                      <a:off x="0" y="0"/>
                      <a:ext cx="5922127" cy="3060905"/>
                    </a:xfrm>
                    <a:prstGeom prst="rect">
                      <a:avLst/>
                    </a:prstGeom>
                    <a:noFill/>
                    <a:ln>
                      <a:noFill/>
                    </a:ln>
                    <a:extLst>
                      <a:ext uri="{53640926-AAD7-44D8-BBD7-CCE9431645EC}">
                        <a14:shadowObscured xmlns:a14="http://schemas.microsoft.com/office/drawing/2010/main"/>
                      </a:ext>
                    </a:extLst>
                  </pic:spPr>
                </pic:pic>
              </a:graphicData>
            </a:graphic>
          </wp:inline>
        </w:drawing>
      </w:r>
    </w:p>
    <w:p w:rsidR="001F7D58" w:rsidRPr="00D44A3A" w:rsidRDefault="00D44A3A" w:rsidP="00D44A3A">
      <w:pPr>
        <w:pStyle w:val="Caption"/>
        <w:rPr>
          <w:b/>
          <w:i w:val="0"/>
          <w:color w:val="auto"/>
          <w:sz w:val="16"/>
          <w:szCs w:val="16"/>
        </w:rPr>
      </w:pPr>
      <w:r w:rsidRPr="00D44A3A">
        <w:rPr>
          <w:b/>
          <w:i w:val="0"/>
          <w:color w:val="auto"/>
          <w:sz w:val="16"/>
          <w:szCs w:val="16"/>
        </w:rPr>
        <w:t>Figure 1: The Regulatory Toll</w:t>
      </w:r>
    </w:p>
    <w:p w:rsidR="00D44A3A" w:rsidRDefault="00D44A3A" w:rsidP="005A5246">
      <w:pPr>
        <w:autoSpaceDE w:val="0"/>
        <w:autoSpaceDN w:val="0"/>
        <w:adjustRightInd w:val="0"/>
        <w:spacing w:after="0" w:line="276" w:lineRule="auto"/>
        <w:jc w:val="both"/>
        <w:rPr>
          <w:sz w:val="24"/>
          <w:szCs w:val="24"/>
        </w:rPr>
      </w:pPr>
    </w:p>
    <w:p w:rsidR="00F27754" w:rsidRPr="00CD028B" w:rsidRDefault="00F27754" w:rsidP="00F27754">
      <w:pPr>
        <w:autoSpaceDE w:val="0"/>
        <w:autoSpaceDN w:val="0"/>
        <w:adjustRightInd w:val="0"/>
        <w:spacing w:after="0" w:line="240" w:lineRule="auto"/>
        <w:jc w:val="both"/>
        <w:rPr>
          <w:sz w:val="24"/>
          <w:szCs w:val="24"/>
        </w:rPr>
      </w:pPr>
    </w:p>
    <w:p w:rsidR="00182D9D" w:rsidRPr="00515582" w:rsidRDefault="00515582" w:rsidP="00515582">
      <w:pPr>
        <w:pStyle w:val="ListParagraph"/>
        <w:numPr>
          <w:ilvl w:val="0"/>
          <w:numId w:val="7"/>
        </w:numPr>
        <w:jc w:val="both"/>
        <w:rPr>
          <w:b/>
          <w:sz w:val="24"/>
          <w:szCs w:val="24"/>
        </w:rPr>
      </w:pPr>
      <w:r w:rsidRPr="00515582">
        <w:rPr>
          <w:b/>
          <w:sz w:val="24"/>
          <w:szCs w:val="24"/>
        </w:rPr>
        <w:t>Socio-politi</w:t>
      </w:r>
      <w:r w:rsidR="009C394D">
        <w:rPr>
          <w:b/>
          <w:sz w:val="24"/>
          <w:szCs w:val="24"/>
        </w:rPr>
        <w:t>cal Sy</w:t>
      </w:r>
      <w:r w:rsidRPr="00515582">
        <w:rPr>
          <w:b/>
          <w:sz w:val="24"/>
          <w:szCs w:val="24"/>
        </w:rPr>
        <w:t>s</w:t>
      </w:r>
      <w:r w:rsidR="009C394D">
        <w:rPr>
          <w:b/>
          <w:sz w:val="24"/>
          <w:szCs w:val="24"/>
        </w:rPr>
        <w:t>tems</w:t>
      </w:r>
      <w:bookmarkStart w:id="0" w:name="_GoBack"/>
      <w:bookmarkEnd w:id="0"/>
    </w:p>
    <w:sectPr w:rsidR="00182D9D" w:rsidRPr="00515582" w:rsidSect="00E93200">
      <w:pgSz w:w="12240" w:h="15840"/>
      <w:pgMar w:top="1440" w:right="1440" w:bottom="16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7AE" w:rsidRDefault="006977AE" w:rsidP="0058749D">
      <w:pPr>
        <w:spacing w:after="0" w:line="240" w:lineRule="auto"/>
      </w:pPr>
      <w:r>
        <w:separator/>
      </w:r>
    </w:p>
  </w:endnote>
  <w:endnote w:type="continuationSeparator" w:id="0">
    <w:p w:rsidR="006977AE" w:rsidRDefault="006977AE" w:rsidP="00587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7AE" w:rsidRDefault="006977AE" w:rsidP="0058749D">
      <w:pPr>
        <w:spacing w:after="0" w:line="240" w:lineRule="auto"/>
      </w:pPr>
      <w:r>
        <w:separator/>
      </w:r>
    </w:p>
  </w:footnote>
  <w:footnote w:type="continuationSeparator" w:id="0">
    <w:p w:rsidR="006977AE" w:rsidRDefault="006977AE" w:rsidP="0058749D">
      <w:pPr>
        <w:spacing w:after="0" w:line="240" w:lineRule="auto"/>
      </w:pPr>
      <w:r>
        <w:continuationSeparator/>
      </w:r>
    </w:p>
  </w:footnote>
  <w:footnote w:id="1">
    <w:p w:rsidR="0058749D" w:rsidRDefault="0058749D">
      <w:pPr>
        <w:pStyle w:val="FootnoteText"/>
      </w:pPr>
      <w:r>
        <w:rPr>
          <w:rStyle w:val="FootnoteReference"/>
        </w:rPr>
        <w:footnoteRef/>
      </w:r>
      <w:hyperlink r:id="rId1" w:history="1">
        <w:r w:rsidR="00B24068" w:rsidRPr="00B24068">
          <w:rPr>
            <w:rStyle w:val="Hyperlink"/>
          </w:rPr>
          <w:t>MSCI Market Classification Framework</w:t>
        </w:r>
      </w:hyperlink>
      <w:r w:rsidR="00B24068">
        <w:t xml:space="preserve"> </w:t>
      </w:r>
    </w:p>
  </w:footnote>
  <w:footnote w:id="2">
    <w:p w:rsidR="00A32B3A" w:rsidRDefault="00A32B3A">
      <w:pPr>
        <w:pStyle w:val="FootnoteText"/>
      </w:pPr>
      <w:r>
        <w:rPr>
          <w:rStyle w:val="FootnoteReference"/>
        </w:rPr>
        <w:footnoteRef/>
      </w:r>
      <w:r>
        <w:t xml:space="preserve"> World Bank Global Economic Prospects January 2017</w:t>
      </w:r>
    </w:p>
  </w:footnote>
  <w:footnote w:id="3">
    <w:p w:rsidR="00D70352" w:rsidRDefault="00D70352">
      <w:pPr>
        <w:pStyle w:val="FootnoteText"/>
      </w:pPr>
      <w:r>
        <w:rPr>
          <w:rStyle w:val="FootnoteReference"/>
        </w:rPr>
        <w:footnoteRef/>
      </w:r>
      <w:r>
        <w:t xml:space="preserve"> Look for authority for these assumptions</w:t>
      </w:r>
    </w:p>
  </w:footnote>
  <w:footnote w:id="4">
    <w:p w:rsidR="00D70352" w:rsidRDefault="00D70352">
      <w:pPr>
        <w:pStyle w:val="FootnoteText"/>
      </w:pPr>
      <w:r>
        <w:rPr>
          <w:rStyle w:val="FootnoteReference"/>
        </w:rPr>
        <w:footnoteRef/>
      </w:r>
      <w:r w:rsidR="00772462">
        <w:t xml:space="preserve"> PWC Productivity Projections 2017</w:t>
      </w:r>
    </w:p>
  </w:footnote>
  <w:footnote w:id="5">
    <w:p w:rsidR="00C02CD4" w:rsidRDefault="00C02CD4">
      <w:pPr>
        <w:pStyle w:val="FootnoteText"/>
      </w:pPr>
      <w:r>
        <w:rPr>
          <w:rStyle w:val="FootnoteReference"/>
        </w:rPr>
        <w:footnoteRef/>
      </w:r>
      <w:r>
        <w:t xml:space="preserve"> </w:t>
      </w:r>
      <w:hyperlink r:id="rId2" w:history="1">
        <w:r w:rsidR="00095470" w:rsidRPr="00095470">
          <w:rPr>
            <w:rStyle w:val="Hyperlink"/>
          </w:rPr>
          <w:t xml:space="preserve"> </w:t>
        </w:r>
        <w:proofErr w:type="spellStart"/>
        <w:r w:rsidR="00095470" w:rsidRPr="00095470">
          <w:rPr>
            <w:rStyle w:val="Hyperlink"/>
          </w:rPr>
          <w:t>Ruchir</w:t>
        </w:r>
        <w:proofErr w:type="spellEnd"/>
        <w:r w:rsidR="00095470" w:rsidRPr="00095470">
          <w:rPr>
            <w:rStyle w:val="Hyperlink"/>
          </w:rPr>
          <w:t xml:space="preserve"> Sharma - Foreign Affairs; March/April 2016</w:t>
        </w:r>
      </w:hyperlink>
    </w:p>
  </w:footnote>
  <w:footnote w:id="6">
    <w:p w:rsidR="00772462" w:rsidRDefault="00772462">
      <w:pPr>
        <w:pStyle w:val="FootnoteText"/>
      </w:pPr>
      <w:r>
        <w:rPr>
          <w:rStyle w:val="FootnoteReference"/>
        </w:rPr>
        <w:footnoteRef/>
      </w:r>
      <w:r>
        <w:t xml:space="preserve"> </w:t>
      </w:r>
      <w:hyperlink r:id="rId3" w:history="1">
        <w:r>
          <w:rPr>
            <w:rStyle w:val="Hyperlink"/>
          </w:rPr>
          <w:t>PWC Productivity Projections 2017</w:t>
        </w:r>
      </w:hyperlink>
    </w:p>
  </w:footnote>
  <w:footnote w:id="7">
    <w:p w:rsidR="00F97BE3" w:rsidRDefault="00F97BE3">
      <w:pPr>
        <w:pStyle w:val="FootnoteText"/>
      </w:pPr>
      <w:r>
        <w:rPr>
          <w:rStyle w:val="FootnoteReference"/>
        </w:rPr>
        <w:footnoteRef/>
      </w:r>
      <w:r>
        <w:t xml:space="preserve"> Need to get more empirical information on this part. WIP</w:t>
      </w:r>
    </w:p>
  </w:footnote>
  <w:footnote w:id="8">
    <w:p w:rsidR="00F97BE3" w:rsidRDefault="00F97BE3">
      <w:pPr>
        <w:pStyle w:val="FootnoteText"/>
      </w:pPr>
      <w:r>
        <w:rPr>
          <w:rStyle w:val="FootnoteReference"/>
        </w:rPr>
        <w:footnoteRef/>
      </w:r>
      <w:r>
        <w:t xml:space="preserve"> Also researching for empirical studies on this</w:t>
      </w:r>
    </w:p>
  </w:footnote>
  <w:footnote w:id="9">
    <w:p w:rsidR="005275A9" w:rsidRDefault="005275A9">
      <w:pPr>
        <w:pStyle w:val="FootnoteText"/>
      </w:pPr>
      <w:r>
        <w:rPr>
          <w:rStyle w:val="FootnoteReference"/>
        </w:rPr>
        <w:footnoteRef/>
      </w:r>
      <w:r>
        <w:t xml:space="preserve"> WIP. To include data on real GDP and potential GDP stats for EMs</w:t>
      </w:r>
    </w:p>
  </w:footnote>
  <w:footnote w:id="10">
    <w:p w:rsidR="00B07E08" w:rsidRDefault="00B07E08">
      <w:pPr>
        <w:pStyle w:val="FootnoteText"/>
      </w:pPr>
      <w:r>
        <w:rPr>
          <w:rStyle w:val="FootnoteReference"/>
        </w:rPr>
        <w:footnoteRef/>
      </w:r>
      <w:r>
        <w:t xml:space="preserve"> </w:t>
      </w:r>
      <w:hyperlink r:id="rId4" w:history="1">
        <w:r w:rsidRPr="00B07E08">
          <w:rPr>
            <w:rStyle w:val="Hyperlink"/>
          </w:rPr>
          <w:t>Bloomberg; Jan 2017</w:t>
        </w:r>
      </w:hyperlink>
    </w:p>
  </w:footnote>
  <w:footnote w:id="11">
    <w:p w:rsidR="00C35D7B" w:rsidRDefault="00C35D7B">
      <w:pPr>
        <w:pStyle w:val="FootnoteText"/>
      </w:pPr>
      <w:r>
        <w:rPr>
          <w:rStyle w:val="FootnoteReference"/>
        </w:rPr>
        <w:footnoteRef/>
      </w:r>
      <w:r>
        <w:t xml:space="preserve"> Insert reference</w:t>
      </w:r>
    </w:p>
  </w:footnote>
  <w:footnote w:id="12">
    <w:p w:rsidR="00B67E0A" w:rsidRDefault="00B67E0A">
      <w:pPr>
        <w:pStyle w:val="FootnoteText"/>
      </w:pPr>
      <w:r>
        <w:rPr>
          <w:rStyle w:val="FootnoteReference"/>
        </w:rPr>
        <w:footnoteRef/>
      </w:r>
      <w:r>
        <w:t xml:space="preserve"> WEF Global Competitiveness Report 2015 - 2016</w:t>
      </w:r>
    </w:p>
  </w:footnote>
  <w:footnote w:id="13">
    <w:p w:rsidR="00F27754" w:rsidRDefault="00F27754">
      <w:pPr>
        <w:pStyle w:val="FootnoteText"/>
      </w:pPr>
      <w:r>
        <w:rPr>
          <w:rStyle w:val="FootnoteReference"/>
        </w:rPr>
        <w:footnoteRef/>
      </w:r>
      <w:r>
        <w:t xml:space="preserve"> </w:t>
      </w:r>
      <w:hyperlink r:id="rId5" w:history="1">
        <w:r w:rsidRPr="00F27754">
          <w:rPr>
            <w:rStyle w:val="Hyperlink"/>
          </w:rPr>
          <w:t xml:space="preserve">Daniel </w:t>
        </w:r>
        <w:proofErr w:type="spellStart"/>
        <w:r w:rsidRPr="00F27754">
          <w:rPr>
            <w:rStyle w:val="Hyperlink"/>
          </w:rPr>
          <w:t>Rottig</w:t>
        </w:r>
        <w:proofErr w:type="spellEnd"/>
        <w:r w:rsidRPr="00F27754">
          <w:rPr>
            <w:rStyle w:val="Hyperlink"/>
          </w:rPr>
          <w:t>, (2016) "Institutions and Emerging Markets</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E70E71"/>
    <w:multiLevelType w:val="hybridMultilevel"/>
    <w:tmpl w:val="C8285F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7C6E22"/>
    <w:multiLevelType w:val="hybridMultilevel"/>
    <w:tmpl w:val="D07CD5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2A2B40"/>
    <w:multiLevelType w:val="hybridMultilevel"/>
    <w:tmpl w:val="25686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E8161A"/>
    <w:multiLevelType w:val="hybridMultilevel"/>
    <w:tmpl w:val="355E9F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1A77C0"/>
    <w:multiLevelType w:val="hybridMultilevel"/>
    <w:tmpl w:val="9E6C36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8E7C78"/>
    <w:multiLevelType w:val="hybridMultilevel"/>
    <w:tmpl w:val="9E6C36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FC62F1"/>
    <w:multiLevelType w:val="hybridMultilevel"/>
    <w:tmpl w:val="355E9F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5"/>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A5A"/>
    <w:rsid w:val="00024CB8"/>
    <w:rsid w:val="00095470"/>
    <w:rsid w:val="000F2640"/>
    <w:rsid w:val="0017649D"/>
    <w:rsid w:val="00182D9D"/>
    <w:rsid w:val="001A0A1E"/>
    <w:rsid w:val="001B18B9"/>
    <w:rsid w:val="001D44DD"/>
    <w:rsid w:val="001F7D58"/>
    <w:rsid w:val="00204954"/>
    <w:rsid w:val="00297059"/>
    <w:rsid w:val="003806A2"/>
    <w:rsid w:val="003E4999"/>
    <w:rsid w:val="00417B18"/>
    <w:rsid w:val="004727D7"/>
    <w:rsid w:val="00515582"/>
    <w:rsid w:val="005275A9"/>
    <w:rsid w:val="00536A5A"/>
    <w:rsid w:val="0054575C"/>
    <w:rsid w:val="00560C8A"/>
    <w:rsid w:val="0058749D"/>
    <w:rsid w:val="00595741"/>
    <w:rsid w:val="005A5246"/>
    <w:rsid w:val="00605D76"/>
    <w:rsid w:val="006977AE"/>
    <w:rsid w:val="006A6B1E"/>
    <w:rsid w:val="006B4009"/>
    <w:rsid w:val="006D4193"/>
    <w:rsid w:val="007675B0"/>
    <w:rsid w:val="00772462"/>
    <w:rsid w:val="007A3F96"/>
    <w:rsid w:val="008025DD"/>
    <w:rsid w:val="00812C06"/>
    <w:rsid w:val="00877465"/>
    <w:rsid w:val="008A3A0E"/>
    <w:rsid w:val="009018EC"/>
    <w:rsid w:val="009A327E"/>
    <w:rsid w:val="009C394D"/>
    <w:rsid w:val="00A32B3A"/>
    <w:rsid w:val="00A405D4"/>
    <w:rsid w:val="00A41058"/>
    <w:rsid w:val="00A97CC2"/>
    <w:rsid w:val="00B07E08"/>
    <w:rsid w:val="00B24068"/>
    <w:rsid w:val="00B47151"/>
    <w:rsid w:val="00B64B44"/>
    <w:rsid w:val="00B67886"/>
    <w:rsid w:val="00B67E0A"/>
    <w:rsid w:val="00BC14A2"/>
    <w:rsid w:val="00BC7C42"/>
    <w:rsid w:val="00BF501B"/>
    <w:rsid w:val="00C02CD4"/>
    <w:rsid w:val="00C35D7B"/>
    <w:rsid w:val="00C43305"/>
    <w:rsid w:val="00C55131"/>
    <w:rsid w:val="00CD028B"/>
    <w:rsid w:val="00CE3810"/>
    <w:rsid w:val="00D44A3A"/>
    <w:rsid w:val="00D45BD8"/>
    <w:rsid w:val="00D70352"/>
    <w:rsid w:val="00D72DFB"/>
    <w:rsid w:val="00D8053B"/>
    <w:rsid w:val="00DE432F"/>
    <w:rsid w:val="00E06F08"/>
    <w:rsid w:val="00E12737"/>
    <w:rsid w:val="00E457DC"/>
    <w:rsid w:val="00E80F9A"/>
    <w:rsid w:val="00E93200"/>
    <w:rsid w:val="00EE44AF"/>
    <w:rsid w:val="00F27754"/>
    <w:rsid w:val="00F65565"/>
    <w:rsid w:val="00F97BE3"/>
    <w:rsid w:val="00FD6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BFE47C-4C3A-44CA-8E95-1B75DA012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9018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6A5A"/>
    <w:pPr>
      <w:ind w:left="720"/>
      <w:contextualSpacing/>
    </w:pPr>
  </w:style>
  <w:style w:type="character" w:styleId="Hyperlink">
    <w:name w:val="Hyperlink"/>
    <w:basedOn w:val="DefaultParagraphFont"/>
    <w:uiPriority w:val="99"/>
    <w:unhideWhenUsed/>
    <w:rsid w:val="0058749D"/>
    <w:rPr>
      <w:color w:val="0000FF"/>
      <w:u w:val="single"/>
    </w:rPr>
  </w:style>
  <w:style w:type="paragraph" w:styleId="FootnoteText">
    <w:name w:val="footnote text"/>
    <w:basedOn w:val="Normal"/>
    <w:link w:val="FootnoteTextChar"/>
    <w:uiPriority w:val="99"/>
    <w:semiHidden/>
    <w:unhideWhenUsed/>
    <w:rsid w:val="005874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749D"/>
    <w:rPr>
      <w:sz w:val="20"/>
      <w:szCs w:val="20"/>
    </w:rPr>
  </w:style>
  <w:style w:type="character" w:styleId="FootnoteReference">
    <w:name w:val="footnote reference"/>
    <w:basedOn w:val="DefaultParagraphFont"/>
    <w:uiPriority w:val="99"/>
    <w:semiHidden/>
    <w:unhideWhenUsed/>
    <w:rsid w:val="0058749D"/>
    <w:rPr>
      <w:vertAlign w:val="superscript"/>
    </w:rPr>
  </w:style>
  <w:style w:type="character" w:customStyle="1" w:styleId="Heading2Char">
    <w:name w:val="Heading 2 Char"/>
    <w:basedOn w:val="DefaultParagraphFont"/>
    <w:link w:val="Heading2"/>
    <w:uiPriority w:val="9"/>
    <w:rsid w:val="009018EC"/>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6A6B1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986497">
      <w:bodyDiv w:val="1"/>
      <w:marLeft w:val="0"/>
      <w:marRight w:val="0"/>
      <w:marTop w:val="0"/>
      <w:marBottom w:val="0"/>
      <w:divBdr>
        <w:top w:val="none" w:sz="0" w:space="0" w:color="auto"/>
        <w:left w:val="none" w:sz="0" w:space="0" w:color="auto"/>
        <w:bottom w:val="none" w:sz="0" w:space="0" w:color="auto"/>
        <w:right w:val="none" w:sz="0" w:space="0" w:color="auto"/>
      </w:divBdr>
    </w:div>
    <w:div w:id="192009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nomicpoint.com/production-function/cobb-dougla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References/PWC%20Productivity%20Projections%202017.pdf" TargetMode="External"/><Relationship Id="rId2" Type="http://schemas.openxmlformats.org/officeDocument/2006/relationships/hyperlink" Target="https://www.foreignaffairs.com/articles/world/2016-02-15/demographics-stagnation" TargetMode="External"/><Relationship Id="rId1" Type="http://schemas.openxmlformats.org/officeDocument/2006/relationships/hyperlink" Target="../../Study%20Group%201/References/MSCI_Market_Classification_Framework.pdf" TargetMode="External"/><Relationship Id="rId5" Type="http://schemas.openxmlformats.org/officeDocument/2006/relationships/hyperlink" Target="References/Insitutions%20and%20Emerging%20Markets.pdf" TargetMode="External"/><Relationship Id="rId4" Type="http://schemas.openxmlformats.org/officeDocument/2006/relationships/hyperlink" Target="https://www.bloomberg.com/news/articles/2017-01-10/history-shows-world-s-best-stock-gains-arise-in-emerging-mark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E1CE1581-894F-4207-A17C-1B50F1A4A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6</Pages>
  <Words>1447</Words>
  <Characters>8306</Characters>
  <Application>Microsoft Office Word</Application>
  <DocSecurity>0</DocSecurity>
  <Lines>136</Lines>
  <Paragraphs>46</Paragraphs>
  <ScaleCrop>false</ScaleCrop>
  <HeadingPairs>
    <vt:vector size="2" baseType="variant">
      <vt:variant>
        <vt:lpstr>Title</vt:lpstr>
      </vt:variant>
      <vt:variant>
        <vt:i4>1</vt:i4>
      </vt:variant>
    </vt:vector>
  </HeadingPairs>
  <TitlesOfParts>
    <vt:vector size="1" baseType="lpstr">
      <vt:lpstr/>
    </vt:vector>
  </TitlesOfParts>
  <Company>FBNMB</Company>
  <LinksUpToDate>false</LinksUpToDate>
  <CharactersWithSpaces>9707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Yetunde Odedokun</dc:creator>
  <cp:keywords/>
  <dc:description/>
  <cp:lastModifiedBy>Yetunde Odedokun</cp:lastModifiedBy>
  <cp:revision>40</cp:revision>
  <dcterms:created xsi:type="dcterms:W3CDTF">2017-09-25T15:45:00Z</dcterms:created>
  <dcterms:modified xsi:type="dcterms:W3CDTF">2017-09-27T03:17:00Z</dcterms:modified>
</cp:coreProperties>
</file>